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64" w:rsidRDefault="00447464" w:rsidP="005A45BA">
      <w:pPr>
        <w:pBdr>
          <w:top w:val="thinThickSmallGap" w:sz="18" w:space="0" w:color="auto"/>
          <w:left w:val="thinThickSmallGap" w:sz="18" w:space="4" w:color="auto"/>
          <w:bottom w:val="thickThinSmallGap" w:sz="18" w:space="31" w:color="auto"/>
          <w:right w:val="thinThickSmallGap" w:sz="18" w:space="4" w:color="auto"/>
        </w:pBdr>
        <w:jc w:val="center"/>
        <w:rPr>
          <w:color w:val="FF0000"/>
          <w:sz w:val="22"/>
          <w:szCs w:val="22"/>
        </w:rPr>
      </w:pPr>
    </w:p>
    <w:p w:rsidR="00447464" w:rsidRDefault="004E538D" w:rsidP="005A45BA">
      <w:pPr>
        <w:pBdr>
          <w:top w:val="thinThickSmallGap" w:sz="18" w:space="0" w:color="auto"/>
          <w:left w:val="thinThickSmallGap" w:sz="18" w:space="4" w:color="auto"/>
          <w:bottom w:val="thickThinSmallGap" w:sz="18" w:space="31" w:color="auto"/>
          <w:right w:val="thinThickSmallGap" w:sz="18" w:space="4" w:color="auto"/>
        </w:pBdr>
        <w:jc w:val="center"/>
        <w:rPr>
          <w:color w:val="FF0000"/>
          <w:sz w:val="22"/>
          <w:szCs w:val="22"/>
        </w:rPr>
      </w:pPr>
      <w:r>
        <w:rPr>
          <w:noProof/>
        </w:rPr>
        <w:drawing>
          <wp:anchor distT="0" distB="0" distL="114300" distR="114300" simplePos="0" relativeHeight="251658240" behindDoc="0" locked="0" layoutInCell="1" allowOverlap="1">
            <wp:simplePos x="0" y="0"/>
            <wp:positionH relativeFrom="column">
              <wp:posOffset>1150620</wp:posOffset>
            </wp:positionH>
            <wp:positionV relativeFrom="paragraph">
              <wp:posOffset>156210</wp:posOffset>
            </wp:positionV>
            <wp:extent cx="968375" cy="1299210"/>
            <wp:effectExtent l="19050" t="0" r="3175" b="0"/>
            <wp:wrapNone/>
            <wp:docPr id="6" name="Picture 12" descr="SPARK Institute Logo NEW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RK Institute Logo NEW 08"/>
                    <pic:cNvPicPr>
                      <a:picLocks noChangeAspect="1" noChangeArrowheads="1"/>
                    </pic:cNvPicPr>
                  </pic:nvPicPr>
                  <pic:blipFill>
                    <a:blip r:embed="rId7"/>
                    <a:srcRect/>
                    <a:stretch>
                      <a:fillRect/>
                    </a:stretch>
                  </pic:blipFill>
                  <pic:spPr bwMode="auto">
                    <a:xfrm>
                      <a:off x="0" y="0"/>
                      <a:ext cx="968375" cy="1299210"/>
                    </a:xfrm>
                    <a:prstGeom prst="rect">
                      <a:avLst/>
                    </a:prstGeom>
                    <a:noFill/>
                  </pic:spPr>
                </pic:pic>
              </a:graphicData>
            </a:graphic>
          </wp:anchor>
        </w:drawing>
      </w:r>
    </w:p>
    <w:p w:rsidR="00447464" w:rsidRDefault="00447464" w:rsidP="005A45BA">
      <w:pPr>
        <w:pBdr>
          <w:top w:val="thinThickSmallGap" w:sz="18" w:space="0" w:color="auto"/>
          <w:left w:val="thinThickSmallGap" w:sz="18" w:space="4" w:color="auto"/>
          <w:bottom w:val="thickThinSmallGap" w:sz="18" w:space="31" w:color="auto"/>
          <w:right w:val="thinThickSmallGap" w:sz="18" w:space="4" w:color="auto"/>
        </w:pBdr>
        <w:jc w:val="center"/>
        <w:rPr>
          <w:color w:val="FF0000"/>
          <w:sz w:val="22"/>
          <w:szCs w:val="22"/>
        </w:rPr>
      </w:pPr>
    </w:p>
    <w:p w:rsidR="00447464" w:rsidRDefault="00447464" w:rsidP="005A45BA">
      <w:pPr>
        <w:pBdr>
          <w:top w:val="thinThickSmallGap" w:sz="18" w:space="0" w:color="auto"/>
          <w:left w:val="thinThickSmallGap" w:sz="18" w:space="4" w:color="auto"/>
          <w:bottom w:val="thickThinSmallGap" w:sz="18" w:space="31" w:color="auto"/>
          <w:right w:val="thinThickSmallGap" w:sz="18" w:space="4" w:color="auto"/>
        </w:pBdr>
        <w:jc w:val="center"/>
        <w:rPr>
          <w:sz w:val="56"/>
          <w:szCs w:val="56"/>
        </w:rPr>
      </w:pPr>
      <w:r>
        <w:tab/>
      </w:r>
      <w:r>
        <w:tab/>
      </w:r>
      <w:r>
        <w:tab/>
      </w:r>
      <w:r>
        <w:tab/>
      </w:r>
      <w:r>
        <w:tab/>
      </w:r>
      <w:r w:rsidR="004E538D">
        <w:rPr>
          <w:noProof/>
        </w:rPr>
        <w:drawing>
          <wp:inline distT="0" distB="0" distL="0" distR="0">
            <wp:extent cx="24860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6025" cy="638175"/>
                    </a:xfrm>
                    <a:prstGeom prst="rect">
                      <a:avLst/>
                    </a:prstGeom>
                    <a:noFill/>
                    <a:ln w="9525">
                      <a:noFill/>
                      <a:miter lim="800000"/>
                      <a:headEnd/>
                      <a:tailEnd/>
                    </a:ln>
                  </pic:spPr>
                </pic:pic>
              </a:graphicData>
            </a:graphic>
          </wp:inline>
        </w:drawing>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56"/>
          <w:szCs w:val="56"/>
        </w:rPr>
      </w:pPr>
    </w:p>
    <w:p w:rsidR="00447464" w:rsidRPr="003A7755"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20"/>
          <w:szCs w:val="20"/>
        </w:rPr>
      </w:pPr>
      <w:bookmarkStart w:id="0" w:name="OLE_LINK1"/>
      <w:bookmarkStart w:id="1" w:name="OLE_LINK2"/>
    </w:p>
    <w:p w:rsidR="00447464" w:rsidRPr="003A7755"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40"/>
          <w:szCs w:val="40"/>
        </w:rPr>
      </w:pP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64"/>
          <w:szCs w:val="64"/>
        </w:rPr>
      </w:pPr>
      <w:r>
        <w:rPr>
          <w:sz w:val="64"/>
          <w:szCs w:val="64"/>
        </w:rPr>
        <w:t>Sample Glossary</w:t>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64"/>
          <w:szCs w:val="64"/>
        </w:rPr>
      </w:pPr>
      <w:r>
        <w:rPr>
          <w:sz w:val="64"/>
          <w:szCs w:val="64"/>
        </w:rPr>
        <w:t>Of Investment-Related Terms</w:t>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64"/>
          <w:szCs w:val="64"/>
        </w:rPr>
      </w:pPr>
      <w:r>
        <w:rPr>
          <w:sz w:val="64"/>
          <w:szCs w:val="64"/>
        </w:rPr>
        <w:t>For</w:t>
      </w:r>
      <w:r w:rsidRPr="00C053E6">
        <w:rPr>
          <w:sz w:val="64"/>
          <w:szCs w:val="64"/>
        </w:rPr>
        <w:t xml:space="preserve"> D</w:t>
      </w:r>
      <w:r>
        <w:rPr>
          <w:sz w:val="64"/>
          <w:szCs w:val="64"/>
        </w:rPr>
        <w:t>isclosures</w:t>
      </w:r>
      <w:r>
        <w:rPr>
          <w:sz w:val="64"/>
          <w:szCs w:val="64"/>
        </w:rPr>
        <w:br/>
        <w:t>To Retirement Plan Participants</w:t>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sz w:val="20"/>
          <w:szCs w:val="20"/>
        </w:rPr>
      </w:pPr>
    </w:p>
    <w:bookmarkEnd w:id="0"/>
    <w:bookmarkEnd w:id="1"/>
    <w:p w:rsidR="00447464" w:rsidRPr="00016C0F"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jc w:val="left"/>
        <w:rPr>
          <w:color w:val="000000"/>
          <w:sz w:val="18"/>
          <w:szCs w:val="18"/>
        </w:rPr>
      </w:pPr>
    </w:p>
    <w:p w:rsidR="00447464" w:rsidRPr="00016C0F"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jc w:val="left"/>
        <w:rPr>
          <w:color w:val="000000"/>
          <w:sz w:val="24"/>
          <w:szCs w:val="24"/>
        </w:rPr>
      </w:pP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jc w:val="left"/>
        <w:rPr>
          <w:color w:val="000000"/>
          <w:sz w:val="48"/>
          <w:szCs w:val="48"/>
        </w:rPr>
      </w:pPr>
      <w:r>
        <w:rPr>
          <w:noProof/>
        </w:rPr>
        <w:tab/>
      </w:r>
      <w:r>
        <w:rPr>
          <w:noProof/>
        </w:rPr>
        <w:tab/>
        <w:t xml:space="preserve"> </w:t>
      </w:r>
      <w:r w:rsidR="004E538D">
        <w:rPr>
          <w:noProof/>
        </w:rPr>
        <w:drawing>
          <wp:inline distT="0" distB="0" distL="0" distR="0">
            <wp:extent cx="1447800" cy="590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47800" cy="590550"/>
                    </a:xfrm>
                    <a:prstGeom prst="rect">
                      <a:avLst/>
                    </a:prstGeom>
                    <a:noFill/>
                    <a:ln w="9525">
                      <a:noFill/>
                      <a:miter lim="800000"/>
                      <a:headEnd/>
                      <a:tailEnd/>
                    </a:ln>
                  </pic:spPr>
                </pic:pic>
              </a:graphicData>
            </a:graphic>
          </wp:inline>
        </w:drawing>
      </w:r>
      <w:r>
        <w:rPr>
          <w:noProof/>
        </w:rPr>
        <w:t xml:space="preserve">  </w:t>
      </w:r>
      <w:r>
        <w:rPr>
          <w:noProof/>
        </w:rPr>
        <w:tab/>
      </w:r>
      <w:r>
        <w:rPr>
          <w:noProof/>
        </w:rPr>
        <w:tab/>
        <w:t xml:space="preserve">  </w:t>
      </w:r>
      <w:r w:rsidR="004E538D">
        <w:rPr>
          <w:noProof/>
        </w:rPr>
        <w:drawing>
          <wp:inline distT="0" distB="0" distL="0" distR="0">
            <wp:extent cx="1704975" cy="638175"/>
            <wp:effectExtent l="19050" t="0" r="9525" b="0"/>
            <wp:docPr id="3" name="Picture 8" descr="http://www.appwp.org/images/abc-logo-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pwp.org/images/abc-logo-lrg.jpg"/>
                    <pic:cNvPicPr>
                      <a:picLocks noChangeAspect="1" noChangeArrowheads="1"/>
                    </pic:cNvPicPr>
                  </pic:nvPicPr>
                  <pic:blipFill>
                    <a:blip r:embed="rId10"/>
                    <a:srcRect/>
                    <a:stretch>
                      <a:fillRect/>
                    </a:stretch>
                  </pic:blipFill>
                  <pic:spPr bwMode="auto">
                    <a:xfrm>
                      <a:off x="0" y="0"/>
                      <a:ext cx="1704975" cy="638175"/>
                    </a:xfrm>
                    <a:prstGeom prst="rect">
                      <a:avLst/>
                    </a:prstGeom>
                    <a:noFill/>
                    <a:ln w="9525">
                      <a:noFill/>
                      <a:miter lim="800000"/>
                      <a:headEnd/>
                      <a:tailEnd/>
                    </a:ln>
                  </pic:spPr>
                </pic:pic>
              </a:graphicData>
            </a:graphic>
          </wp:inline>
        </w:drawing>
      </w:r>
    </w:p>
    <w:p w:rsidR="00447464" w:rsidRDefault="004E538D" w:rsidP="005A45BA">
      <w:pPr>
        <w:pStyle w:val="Heading2"/>
        <w:pBdr>
          <w:top w:val="thinThickSmallGap" w:sz="18" w:space="0" w:color="auto"/>
          <w:left w:val="thinThickSmallGap" w:sz="18" w:space="4" w:color="auto"/>
          <w:bottom w:val="thickThinSmallGap" w:sz="18" w:space="31" w:color="auto"/>
          <w:right w:val="thinThickSmallGap" w:sz="18" w:space="4" w:color="auto"/>
        </w:pBdr>
        <w:rPr>
          <w:color w:val="000000"/>
          <w:sz w:val="52"/>
          <w:szCs w:val="52"/>
        </w:rPr>
      </w:pPr>
      <w:r>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310515</wp:posOffset>
            </wp:positionV>
            <wp:extent cx="1816100" cy="673735"/>
            <wp:effectExtent l="19050" t="0" r="0" b="0"/>
            <wp:wrapNone/>
            <wp:docPr id="5" name="Picture 4" descr="http://asppa.org/Image-Library/Site-Logo.asp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ppa.org/Image-Library/Site-Logo.aspx">
                      <a:hlinkClick r:id="rId11"/>
                    </pic:cNvPr>
                    <pic:cNvPicPr>
                      <a:picLocks noChangeAspect="1" noChangeArrowheads="1"/>
                    </pic:cNvPicPr>
                  </pic:nvPicPr>
                  <pic:blipFill>
                    <a:blip r:embed="rId12"/>
                    <a:srcRect/>
                    <a:stretch>
                      <a:fillRect/>
                    </a:stretch>
                  </pic:blipFill>
                  <pic:spPr bwMode="auto">
                    <a:xfrm>
                      <a:off x="0" y="0"/>
                      <a:ext cx="1816100" cy="673735"/>
                    </a:xfrm>
                    <a:prstGeom prst="rect">
                      <a:avLst/>
                    </a:prstGeom>
                    <a:noFill/>
                  </pic:spPr>
                </pic:pic>
              </a:graphicData>
            </a:graphic>
          </wp:anchor>
        </w:drawing>
      </w:r>
      <w:r w:rsidR="00447464">
        <w:rPr>
          <w:color w:val="000000"/>
          <w:sz w:val="52"/>
          <w:szCs w:val="52"/>
        </w:rPr>
        <w:tab/>
      </w:r>
      <w:r w:rsidR="00447464">
        <w:rPr>
          <w:color w:val="000000"/>
          <w:sz w:val="52"/>
          <w:szCs w:val="52"/>
        </w:rPr>
        <w:tab/>
      </w:r>
      <w:r w:rsidR="00447464">
        <w:rPr>
          <w:color w:val="000000"/>
          <w:sz w:val="52"/>
          <w:szCs w:val="52"/>
        </w:rPr>
        <w:tab/>
      </w:r>
      <w:r w:rsidR="00447464">
        <w:rPr>
          <w:color w:val="000000"/>
          <w:sz w:val="52"/>
          <w:szCs w:val="52"/>
        </w:rPr>
        <w:tab/>
      </w:r>
      <w:r w:rsidR="00447464">
        <w:rPr>
          <w:rFonts w:ascii="Verdana" w:hAnsi="Verdana"/>
          <w:color w:val="000000"/>
          <w:sz w:val="16"/>
          <w:szCs w:val="16"/>
        </w:rPr>
        <w:tab/>
      </w:r>
      <w:r w:rsidR="00447464">
        <w:rPr>
          <w:rFonts w:ascii="Verdana" w:hAnsi="Verdana"/>
          <w:color w:val="000000"/>
          <w:sz w:val="16"/>
          <w:szCs w:val="16"/>
        </w:rPr>
        <w:tab/>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jc w:val="left"/>
      </w:pPr>
      <w:r>
        <w:rPr>
          <w:color w:val="000000"/>
          <w:sz w:val="52"/>
          <w:szCs w:val="52"/>
        </w:rPr>
        <w:tab/>
      </w:r>
      <w:r>
        <w:rPr>
          <w:color w:val="000000"/>
          <w:sz w:val="52"/>
          <w:szCs w:val="52"/>
        </w:rPr>
        <w:tab/>
      </w:r>
      <w:r>
        <w:rPr>
          <w:color w:val="000000"/>
          <w:sz w:val="52"/>
          <w:szCs w:val="52"/>
        </w:rPr>
        <w:tab/>
      </w:r>
      <w:r>
        <w:rPr>
          <w:color w:val="000000"/>
          <w:sz w:val="52"/>
          <w:szCs w:val="52"/>
        </w:rPr>
        <w:tab/>
      </w:r>
      <w:r>
        <w:rPr>
          <w:color w:val="000000"/>
          <w:sz w:val="52"/>
          <w:szCs w:val="52"/>
        </w:rPr>
        <w:tab/>
      </w:r>
      <w:r>
        <w:rPr>
          <w:color w:val="000000"/>
          <w:sz w:val="52"/>
          <w:szCs w:val="52"/>
        </w:rPr>
        <w:tab/>
      </w:r>
      <w:r>
        <w:rPr>
          <w:color w:val="000000"/>
          <w:sz w:val="52"/>
          <w:szCs w:val="52"/>
        </w:rPr>
        <w:tab/>
      </w:r>
      <w:r>
        <w:rPr>
          <w:color w:val="000000"/>
          <w:sz w:val="52"/>
          <w:szCs w:val="52"/>
        </w:rPr>
        <w:tab/>
        <w:t xml:space="preserve"> </w:t>
      </w:r>
      <w:r w:rsidR="004E538D">
        <w:rPr>
          <w:noProof/>
          <w:color w:val="000000"/>
          <w:sz w:val="52"/>
          <w:szCs w:val="52"/>
        </w:rPr>
        <w:drawing>
          <wp:inline distT="0" distB="0" distL="0" distR="0">
            <wp:extent cx="1200150" cy="600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200150" cy="600075"/>
                    </a:xfrm>
                    <a:prstGeom prst="rect">
                      <a:avLst/>
                    </a:prstGeom>
                    <a:noFill/>
                    <a:ln w="9525">
                      <a:noFill/>
                      <a:miter lim="800000"/>
                      <a:headEnd/>
                      <a:tailEnd/>
                    </a:ln>
                  </pic:spPr>
                </pic:pic>
              </a:graphicData>
            </a:graphic>
          </wp:inline>
        </w:drawing>
      </w: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rFonts w:ascii="Arial" w:hAnsi="Arial" w:cs="Arial"/>
          <w:b/>
          <w:bCs/>
          <w:sz w:val="24"/>
          <w:szCs w:val="24"/>
        </w:rPr>
      </w:pP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rFonts w:ascii="Arial" w:hAnsi="Arial" w:cs="Arial"/>
          <w:b/>
          <w:bCs/>
          <w:sz w:val="24"/>
          <w:szCs w:val="24"/>
        </w:rPr>
      </w:pP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color w:val="000000"/>
          <w:sz w:val="52"/>
          <w:szCs w:val="52"/>
        </w:rPr>
      </w:pPr>
    </w:p>
    <w:p w:rsidR="00447464" w:rsidRDefault="00447464" w:rsidP="005A45BA">
      <w:pPr>
        <w:pStyle w:val="Heading2"/>
        <w:pBdr>
          <w:top w:val="thinThickSmallGap" w:sz="18" w:space="0" w:color="auto"/>
          <w:left w:val="thinThickSmallGap" w:sz="18" w:space="4" w:color="auto"/>
          <w:bottom w:val="thickThinSmallGap" w:sz="18" w:space="31" w:color="auto"/>
          <w:right w:val="thinThickSmallGap" w:sz="18" w:space="4" w:color="auto"/>
        </w:pBdr>
        <w:rPr>
          <w:color w:val="000000"/>
        </w:rPr>
      </w:pPr>
      <w:r w:rsidRPr="00E94B27">
        <w:rPr>
          <w:color w:val="000000"/>
          <w:sz w:val="52"/>
          <w:szCs w:val="52"/>
        </w:rPr>
        <w:t xml:space="preserve">Version </w:t>
      </w:r>
      <w:r>
        <w:rPr>
          <w:color w:val="000000"/>
          <w:sz w:val="52"/>
          <w:szCs w:val="52"/>
        </w:rPr>
        <w:t>1</w:t>
      </w:r>
      <w:r w:rsidRPr="00E94B27">
        <w:rPr>
          <w:color w:val="000000"/>
          <w:sz w:val="52"/>
          <w:szCs w:val="52"/>
        </w:rPr>
        <w:t>.0</w:t>
      </w:r>
      <w:r>
        <w:rPr>
          <w:color w:val="000000"/>
          <w:sz w:val="52"/>
          <w:szCs w:val="52"/>
        </w:rPr>
        <w:t>1</w:t>
      </w:r>
      <w:r w:rsidRPr="00E94B27">
        <w:rPr>
          <w:color w:val="000000"/>
          <w:sz w:val="52"/>
          <w:szCs w:val="52"/>
        </w:rPr>
        <w:br/>
      </w:r>
      <w:r>
        <w:rPr>
          <w:color w:val="000000"/>
          <w:sz w:val="48"/>
          <w:szCs w:val="48"/>
        </w:rPr>
        <w:br/>
      </w:r>
      <w:r>
        <w:rPr>
          <w:color w:val="000000"/>
          <w:sz w:val="52"/>
          <w:szCs w:val="52"/>
        </w:rPr>
        <w:t>April 26, 2012</w:t>
      </w:r>
    </w:p>
    <w:p w:rsidR="00447464" w:rsidRDefault="00447464" w:rsidP="005A45BA">
      <w:pPr>
        <w:pBdr>
          <w:top w:val="thinThickSmallGap" w:sz="18" w:space="0" w:color="auto"/>
          <w:left w:val="thinThickSmallGap" w:sz="18" w:space="4" w:color="auto"/>
          <w:bottom w:val="thickThinSmallGap" w:sz="18" w:space="31" w:color="auto"/>
          <w:right w:val="thinThickSmallGap" w:sz="18" w:space="4" w:color="auto"/>
        </w:pBdr>
        <w:rPr>
          <w:color w:val="000000"/>
          <w:sz w:val="22"/>
          <w:szCs w:val="22"/>
        </w:rPr>
      </w:pPr>
    </w:p>
    <w:p w:rsidR="00447464" w:rsidRDefault="00447464">
      <w:pPr>
        <w:rPr>
          <w:color w:val="000000"/>
        </w:rPr>
      </w:pPr>
    </w:p>
    <w:p w:rsidR="00447464" w:rsidRPr="00E86723" w:rsidRDefault="00447464">
      <w:pPr>
        <w:rPr>
          <w:color w:val="000000"/>
        </w:rPr>
        <w:sectPr w:rsidR="00447464" w:rsidRPr="00E86723" w:rsidSect="0097295F">
          <w:headerReference w:type="even" r:id="rId14"/>
          <w:headerReference w:type="default" r:id="rId15"/>
          <w:footerReference w:type="even" r:id="rId16"/>
          <w:footerReference w:type="default" r:id="rId17"/>
          <w:headerReference w:type="first" r:id="rId18"/>
          <w:footerReference w:type="first" r:id="rId19"/>
          <w:pgSz w:w="12240" w:h="15840" w:code="1"/>
          <w:pgMar w:top="576" w:right="1440" w:bottom="677" w:left="1440" w:header="720" w:footer="720" w:gutter="0"/>
          <w:pgNumType w:start="1"/>
          <w:cols w:space="720"/>
          <w:titlePg/>
          <w:rtlGutter/>
          <w:docGrid w:linePitch="360"/>
        </w:sectPr>
      </w:pPr>
    </w:p>
    <w:p w:rsidR="00447464" w:rsidRDefault="00447464" w:rsidP="00965BE3">
      <w:pPr>
        <w:jc w:val="center"/>
        <w:rPr>
          <w:rFonts w:ascii="Times New Roman" w:hAnsi="Times New Roman" w:cs="Times New Roman"/>
          <w:noProof/>
        </w:rPr>
      </w:pPr>
    </w:p>
    <w:p w:rsidR="00447464" w:rsidRPr="00643379" w:rsidRDefault="00447464" w:rsidP="00643379">
      <w:pPr>
        <w:jc w:val="center"/>
        <w:rPr>
          <w:rFonts w:ascii="Times New Roman Bold" w:hAnsi="Times New Roman Bold" w:cs="Times New Roman Bold"/>
          <w:smallCaps/>
          <w:sz w:val="28"/>
          <w:szCs w:val="28"/>
        </w:rPr>
      </w:pPr>
      <w:r w:rsidRPr="00643379">
        <w:rPr>
          <w:rFonts w:ascii="Times New Roman Bold" w:hAnsi="Times New Roman Bold" w:cs="Times New Roman Bold"/>
          <w:smallCaps/>
          <w:sz w:val="28"/>
          <w:szCs w:val="28"/>
        </w:rPr>
        <w:t>Sample Glossary of Investment</w:t>
      </w:r>
      <w:r>
        <w:rPr>
          <w:rFonts w:ascii="Times New Roman Bold" w:hAnsi="Times New Roman Bold" w:cs="Times New Roman Bold"/>
          <w:smallCaps/>
          <w:sz w:val="28"/>
          <w:szCs w:val="28"/>
        </w:rPr>
        <w:t>-</w:t>
      </w:r>
      <w:r w:rsidRPr="00643379">
        <w:rPr>
          <w:rFonts w:ascii="Times New Roman Bold" w:hAnsi="Times New Roman Bold" w:cs="Times New Roman Bold"/>
          <w:smallCaps/>
          <w:sz w:val="28"/>
          <w:szCs w:val="28"/>
        </w:rPr>
        <w:t>Related Terms</w:t>
      </w:r>
    </w:p>
    <w:p w:rsidR="00447464" w:rsidRDefault="00447464" w:rsidP="00643379">
      <w:pPr>
        <w:jc w:val="center"/>
        <w:rPr>
          <w:rFonts w:ascii="Times New Roman Bold" w:hAnsi="Times New Roman Bold" w:cs="Times New Roman Bold"/>
          <w:smallCaps/>
          <w:sz w:val="28"/>
          <w:szCs w:val="28"/>
        </w:rPr>
      </w:pPr>
      <w:r>
        <w:rPr>
          <w:rFonts w:ascii="Times New Roman Bold" w:hAnsi="Times New Roman Bold" w:cs="Times New Roman Bold"/>
          <w:smallCaps/>
          <w:sz w:val="28"/>
          <w:szCs w:val="28"/>
        </w:rPr>
        <w:t>F</w:t>
      </w:r>
      <w:r w:rsidRPr="00643379">
        <w:rPr>
          <w:rFonts w:ascii="Times New Roman Bold" w:hAnsi="Times New Roman Bold" w:cs="Times New Roman Bold"/>
          <w:smallCaps/>
          <w:sz w:val="28"/>
          <w:szCs w:val="28"/>
        </w:rPr>
        <w:t>or Disclosures to Retirement Plan Participants</w:t>
      </w:r>
    </w:p>
    <w:p w:rsidR="00447464" w:rsidRDefault="00447464" w:rsidP="00643379">
      <w:pPr>
        <w:jc w:val="center"/>
        <w:rPr>
          <w:rFonts w:ascii="Times New Roman" w:hAnsi="Times New Roman" w:cs="Times New Roman"/>
          <w:b w:val="0"/>
          <w:sz w:val="28"/>
          <w:szCs w:val="28"/>
        </w:rPr>
      </w:pPr>
      <w:r w:rsidRPr="00100EEF">
        <w:rPr>
          <w:rFonts w:ascii="Times New Roman" w:hAnsi="Times New Roman" w:cs="Times New Roman"/>
          <w:b w:val="0"/>
          <w:sz w:val="28"/>
          <w:szCs w:val="28"/>
        </w:rPr>
        <w:t xml:space="preserve">(Version </w:t>
      </w:r>
      <w:r>
        <w:rPr>
          <w:rFonts w:ascii="Times New Roman" w:hAnsi="Times New Roman" w:cs="Times New Roman"/>
          <w:b w:val="0"/>
          <w:sz w:val="28"/>
          <w:szCs w:val="28"/>
        </w:rPr>
        <w:t>1</w:t>
      </w:r>
      <w:r w:rsidRPr="00100EEF">
        <w:rPr>
          <w:rFonts w:ascii="Times New Roman" w:hAnsi="Times New Roman" w:cs="Times New Roman"/>
          <w:b w:val="0"/>
          <w:sz w:val="28"/>
          <w:szCs w:val="28"/>
        </w:rPr>
        <w:t>.0</w:t>
      </w:r>
      <w:r>
        <w:rPr>
          <w:rFonts w:ascii="Times New Roman" w:hAnsi="Times New Roman" w:cs="Times New Roman"/>
          <w:b w:val="0"/>
          <w:sz w:val="28"/>
          <w:szCs w:val="28"/>
        </w:rPr>
        <w:t>1</w:t>
      </w:r>
      <w:r w:rsidRPr="00100EEF">
        <w:rPr>
          <w:rFonts w:ascii="Times New Roman" w:hAnsi="Times New Roman" w:cs="Times New Roman"/>
          <w:b w:val="0"/>
          <w:sz w:val="28"/>
          <w:szCs w:val="28"/>
        </w:rPr>
        <w:t>)</w:t>
      </w:r>
      <w:r w:rsidRPr="00100EEF">
        <w:rPr>
          <w:rFonts w:ascii="Times New Roman" w:hAnsi="Times New Roman" w:cs="Times New Roman"/>
          <w:b w:val="0"/>
          <w:sz w:val="28"/>
          <w:szCs w:val="28"/>
        </w:rPr>
        <w:br/>
      </w:r>
    </w:p>
    <w:p w:rsidR="00447464" w:rsidRDefault="00447464" w:rsidP="00965BE3">
      <w:pPr>
        <w:jc w:val="both"/>
        <w:rPr>
          <w:rFonts w:ascii="Times New Roman" w:hAnsi="Times New Roman" w:cs="Times New Roman"/>
          <w:u w:val="single"/>
        </w:rPr>
      </w:pPr>
      <w:r>
        <w:rPr>
          <w:rFonts w:ascii="Times New Roman" w:hAnsi="Times New Roman" w:cs="Times New Roman"/>
          <w:u w:val="single"/>
        </w:rPr>
        <w:t>General Information</w:t>
      </w:r>
    </w:p>
    <w:p w:rsidR="00447464" w:rsidRDefault="00447464" w:rsidP="00965BE3">
      <w:pPr>
        <w:jc w:val="both"/>
        <w:rPr>
          <w:rFonts w:ascii="Times New Roman" w:hAnsi="Times New Roman" w:cs="Times New Roman"/>
          <w:u w:val="single"/>
        </w:rPr>
      </w:pPr>
    </w:p>
    <w:p w:rsidR="00447464" w:rsidRDefault="00447464" w:rsidP="00D60147">
      <w:pPr>
        <w:jc w:val="both"/>
        <w:rPr>
          <w:rFonts w:ascii="Times New Roman" w:hAnsi="Times New Roman" w:cs="Times New Roman"/>
          <w:b w:val="0"/>
        </w:rPr>
      </w:pPr>
      <w:r w:rsidRPr="00027622">
        <w:rPr>
          <w:rFonts w:ascii="Times New Roman" w:hAnsi="Times New Roman" w:cs="Times New Roman"/>
          <w:b w:val="0"/>
        </w:rPr>
        <w:t>The Sample Glossary of Investment</w:t>
      </w:r>
      <w:r>
        <w:rPr>
          <w:rFonts w:ascii="Times New Roman" w:hAnsi="Times New Roman" w:cs="Times New Roman"/>
          <w:b w:val="0"/>
        </w:rPr>
        <w:t>-</w:t>
      </w:r>
      <w:r w:rsidRPr="00027622">
        <w:rPr>
          <w:rFonts w:ascii="Times New Roman" w:hAnsi="Times New Roman" w:cs="Times New Roman"/>
          <w:b w:val="0"/>
        </w:rPr>
        <w:t xml:space="preserve">Related Terms for Disclosures to Retirement Plan Participants (the “Glossary”) was developed by The SPARK Institute and the Investment </w:t>
      </w:r>
      <w:r w:rsidRPr="00467BDA">
        <w:rPr>
          <w:rFonts w:ascii="Times New Roman" w:hAnsi="Times New Roman" w:cs="Times New Roman"/>
          <w:b w:val="0"/>
        </w:rPr>
        <w:t>Company Institute</w:t>
      </w:r>
      <w:r w:rsidRPr="00467BDA">
        <w:rPr>
          <w:rFonts w:ascii="Times New Roman" w:hAnsi="Times New Roman" w:cs="Times New Roman"/>
          <w:b w:val="0"/>
          <w:vertAlign w:val="superscript"/>
        </w:rPr>
        <w:footnoteReference w:id="1"/>
      </w:r>
      <w:r w:rsidRPr="00467BDA">
        <w:rPr>
          <w:rFonts w:ascii="Times New Roman" w:hAnsi="Times New Roman" w:cs="Times New Roman"/>
          <w:b w:val="0"/>
        </w:rPr>
        <w:t xml:space="preserve"> as</w:t>
      </w:r>
      <w:r>
        <w:rPr>
          <w:rFonts w:ascii="Times New Roman" w:hAnsi="Times New Roman" w:cs="Times New Roman"/>
          <w:b w:val="0"/>
        </w:rPr>
        <w:t xml:space="preserve"> sample language that can be</w:t>
      </w:r>
      <w:r w:rsidRPr="00467BDA">
        <w:rPr>
          <w:rFonts w:ascii="Times New Roman" w:hAnsi="Times New Roman" w:cs="Times New Roman"/>
          <w:b w:val="0"/>
        </w:rPr>
        <w:t xml:space="preserve"> use</w:t>
      </w:r>
      <w:r>
        <w:rPr>
          <w:rFonts w:ascii="Times New Roman" w:hAnsi="Times New Roman" w:cs="Times New Roman"/>
          <w:b w:val="0"/>
        </w:rPr>
        <w:t>d</w:t>
      </w:r>
      <w:r w:rsidRPr="00467BDA">
        <w:rPr>
          <w:rFonts w:ascii="Times New Roman" w:hAnsi="Times New Roman" w:cs="Times New Roman"/>
          <w:b w:val="0"/>
        </w:rPr>
        <w:t xml:space="preserve"> or adapt</w:t>
      </w:r>
      <w:r>
        <w:rPr>
          <w:rFonts w:ascii="Times New Roman" w:hAnsi="Times New Roman" w:cs="Times New Roman"/>
          <w:b w:val="0"/>
        </w:rPr>
        <w:t>ed</w:t>
      </w:r>
      <w:r w:rsidRPr="00467BDA">
        <w:rPr>
          <w:rFonts w:ascii="Times New Roman" w:hAnsi="Times New Roman" w:cs="Times New Roman"/>
          <w:b w:val="0"/>
        </w:rPr>
        <w:t xml:space="preserve"> in complying with the</w:t>
      </w:r>
      <w:r w:rsidRPr="00027622">
        <w:rPr>
          <w:rFonts w:ascii="Times New Roman" w:hAnsi="Times New Roman" w:cs="Times New Roman"/>
          <w:b w:val="0"/>
        </w:rPr>
        <w:t xml:space="preserve"> requirement in new Department of Labor regulations</w:t>
      </w:r>
      <w:r w:rsidRPr="00467BDA">
        <w:rPr>
          <w:rFonts w:ascii="Times New Roman" w:hAnsi="Times New Roman" w:cs="Times New Roman"/>
          <w:b w:val="0"/>
          <w:vertAlign w:val="superscript"/>
        </w:rPr>
        <w:footnoteReference w:id="2"/>
      </w:r>
      <w:r w:rsidRPr="00027622">
        <w:rPr>
          <w:rFonts w:ascii="Times New Roman" w:hAnsi="Times New Roman" w:cs="Times New Roman"/>
          <w:b w:val="0"/>
        </w:rPr>
        <w:t xml:space="preserve"> that participant-directed retirement plans provide participants access to a glossary of investment-related terms.</w:t>
      </w:r>
      <w:r>
        <w:rPr>
          <w:rFonts w:ascii="Times New Roman" w:hAnsi="Times New Roman" w:cs="Times New Roman"/>
          <w:b w:val="0"/>
        </w:rPr>
        <w:t xml:space="preserve"> </w:t>
      </w:r>
      <w:r w:rsidRPr="00027622">
        <w:rPr>
          <w:rFonts w:ascii="Times New Roman" w:hAnsi="Times New Roman" w:cs="Times New Roman"/>
          <w:b w:val="0"/>
        </w:rPr>
        <w:t xml:space="preserve">It has been endorsed by </w:t>
      </w:r>
      <w:r>
        <w:rPr>
          <w:rFonts w:ascii="Times New Roman" w:hAnsi="Times New Roman" w:cs="Times New Roman"/>
          <w:b w:val="0"/>
        </w:rPr>
        <w:t xml:space="preserve">the American Benefits Council (“ABC”), American Council of Life Insurers (“ACLI”), </w:t>
      </w:r>
      <w:r w:rsidRPr="00B26315">
        <w:rPr>
          <w:rFonts w:ascii="Times New Roman" w:hAnsi="Times New Roman" w:cs="Times New Roman"/>
          <w:b w:val="0"/>
        </w:rPr>
        <w:t>American Society of Pension Professionals &amp; Actuaries</w:t>
      </w:r>
      <w:r>
        <w:rPr>
          <w:rFonts w:ascii="Times New Roman" w:hAnsi="Times New Roman" w:cs="Times New Roman"/>
          <w:b w:val="0"/>
        </w:rPr>
        <w:t xml:space="preserve"> (“ASPPA”), and Society for Human Resource Management (“SHRM”).</w:t>
      </w:r>
    </w:p>
    <w:p w:rsidR="00447464" w:rsidRPr="0002762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027622">
        <w:rPr>
          <w:rFonts w:ascii="Times New Roman" w:hAnsi="Times New Roman" w:cs="Times New Roman"/>
          <w:b w:val="0"/>
        </w:rPr>
        <w:t>The document is organized in two parts.</w:t>
      </w:r>
      <w:r>
        <w:rPr>
          <w:rFonts w:ascii="Times New Roman" w:hAnsi="Times New Roman" w:cs="Times New Roman"/>
          <w:b w:val="0"/>
        </w:rPr>
        <w:t xml:space="preserve"> </w:t>
      </w:r>
      <w:r w:rsidRPr="00027622">
        <w:rPr>
          <w:rFonts w:ascii="Times New Roman" w:hAnsi="Times New Roman" w:cs="Times New Roman"/>
          <w:b w:val="0"/>
        </w:rPr>
        <w:t>Part 1 covers a broad group of general investment</w:t>
      </w:r>
      <w:r>
        <w:rPr>
          <w:rFonts w:ascii="Times New Roman" w:hAnsi="Times New Roman" w:cs="Times New Roman"/>
          <w:b w:val="0"/>
        </w:rPr>
        <w:t>-</w:t>
      </w:r>
      <w:r w:rsidRPr="00027622">
        <w:rPr>
          <w:rFonts w:ascii="Times New Roman" w:hAnsi="Times New Roman" w:cs="Times New Roman"/>
          <w:b w:val="0"/>
        </w:rPr>
        <w:t>related terms.</w:t>
      </w:r>
      <w:r>
        <w:rPr>
          <w:rFonts w:ascii="Times New Roman" w:hAnsi="Times New Roman" w:cs="Times New Roman"/>
          <w:b w:val="0"/>
        </w:rPr>
        <w:t xml:space="preserve"> </w:t>
      </w:r>
      <w:r w:rsidRPr="00027622">
        <w:rPr>
          <w:rFonts w:ascii="Times New Roman" w:hAnsi="Times New Roman" w:cs="Times New Roman"/>
          <w:b w:val="0"/>
        </w:rPr>
        <w:t xml:space="preserve">Part 2 covers terms that are specific to </w:t>
      </w:r>
      <w:r>
        <w:rPr>
          <w:rFonts w:ascii="Times New Roman" w:hAnsi="Times New Roman" w:cs="Times New Roman"/>
          <w:b w:val="0"/>
        </w:rPr>
        <w:t xml:space="preserve">insurance </w:t>
      </w:r>
      <w:r w:rsidRPr="00027622">
        <w:rPr>
          <w:rFonts w:ascii="Times New Roman" w:hAnsi="Times New Roman" w:cs="Times New Roman"/>
          <w:b w:val="0"/>
        </w:rPr>
        <w:t>products.</w:t>
      </w:r>
      <w:r w:rsidRPr="00467BDA">
        <w:rPr>
          <w:rFonts w:ascii="Times New Roman" w:hAnsi="Times New Roman" w:cs="Times New Roman"/>
          <w:b w:val="0"/>
          <w:vertAlign w:val="superscript"/>
        </w:rPr>
        <w:footnoteReference w:id="3"/>
      </w:r>
    </w:p>
    <w:p w:rsidR="00447464" w:rsidRPr="0002762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b w:val="0"/>
        </w:rPr>
      </w:pPr>
      <w:r w:rsidRPr="00027622">
        <w:rPr>
          <w:rFonts w:ascii="Times New Roman" w:hAnsi="Times New Roman" w:cs="Times New Roman"/>
          <w:b w:val="0"/>
        </w:rPr>
        <w:t>The Glossary defines terms that are likely to apply to a wide group of plans and investments</w:t>
      </w:r>
      <w:r>
        <w:rPr>
          <w:rFonts w:ascii="Times New Roman" w:hAnsi="Times New Roman" w:cs="Times New Roman"/>
          <w:b w:val="0"/>
        </w:rPr>
        <w:t>,</w:t>
      </w:r>
      <w:r w:rsidRPr="00027622">
        <w:rPr>
          <w:rFonts w:ascii="Times New Roman" w:hAnsi="Times New Roman" w:cs="Times New Roman"/>
          <w:b w:val="0"/>
        </w:rPr>
        <w:t xml:space="preserve"> but it does not include definitions for every retirement plan and investment-related term.</w:t>
      </w:r>
      <w:r>
        <w:rPr>
          <w:rFonts w:ascii="Times New Roman" w:hAnsi="Times New Roman" w:cs="Times New Roman"/>
          <w:b w:val="0"/>
        </w:rPr>
        <w:t xml:space="preserve"> </w:t>
      </w:r>
      <w:r w:rsidRPr="00027622">
        <w:rPr>
          <w:rFonts w:ascii="Times New Roman" w:hAnsi="Times New Roman" w:cs="Times New Roman"/>
          <w:b w:val="0"/>
        </w:rPr>
        <w:t>Certain terms that a particular plan sponsor may want to include in its glossary because of specific plan investment options and other circumstances may not appear.</w:t>
      </w:r>
      <w:r>
        <w:rPr>
          <w:rFonts w:ascii="Times New Roman" w:hAnsi="Times New Roman" w:cs="Times New Roman"/>
          <w:b w:val="0"/>
        </w:rPr>
        <w:t xml:space="preserve"> </w:t>
      </w:r>
      <w:r w:rsidRPr="00027622">
        <w:rPr>
          <w:rFonts w:ascii="Times New Roman" w:hAnsi="Times New Roman" w:cs="Times New Roman"/>
          <w:b w:val="0"/>
        </w:rPr>
        <w:t>Moreover, none of the definitions represents the only way to define a particular term.</w:t>
      </w:r>
      <w:r>
        <w:rPr>
          <w:rFonts w:ascii="Times New Roman" w:hAnsi="Times New Roman" w:cs="Times New Roman"/>
          <w:b w:val="0"/>
        </w:rPr>
        <w:t xml:space="preserve"> </w:t>
      </w:r>
      <w:r w:rsidRPr="00027622">
        <w:rPr>
          <w:rFonts w:ascii="Times New Roman" w:hAnsi="Times New Roman" w:cs="Times New Roman"/>
          <w:b w:val="0"/>
        </w:rPr>
        <w:t>Plans using the Glossary may want to customize or modify the language as they deem appropriate.</w:t>
      </w:r>
      <w:r>
        <w:rPr>
          <w:rFonts w:ascii="Times New Roman" w:hAnsi="Times New Roman" w:cs="Times New Roman"/>
          <w:b w:val="0"/>
        </w:rPr>
        <w:t xml:space="preserve"> U</w:t>
      </w:r>
      <w:r w:rsidRPr="00467BDA">
        <w:rPr>
          <w:rFonts w:ascii="Times New Roman" w:hAnsi="Times New Roman"/>
          <w:b w:val="0"/>
        </w:rPr>
        <w:t>sing the Glossary for purposes other than its intended purpose may not be suitable.</w:t>
      </w:r>
    </w:p>
    <w:p w:rsidR="00447464" w:rsidRPr="0002762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r w:rsidRPr="00F7379B">
        <w:rPr>
          <w:rFonts w:ascii="Times New Roman" w:hAnsi="Times New Roman" w:cs="Times New Roman"/>
        </w:rPr>
        <w:t>Summary of Changes Included in Version 1.01</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b w:val="0"/>
        </w:rPr>
      </w:pPr>
      <w:r w:rsidRPr="0091038D">
        <w:rPr>
          <w:rFonts w:ascii="Times New Roman" w:hAnsi="Times New Roman"/>
          <w:b w:val="0"/>
        </w:rPr>
        <w:t>The new Version 1.01 contains revisions involving the term “Cash Equivalent” and a revision to the definition of “Market Capitalization or Market Cap.”  Additional information on the changes appears in the Version Control Log (Appendix A at the end of this document).</w:t>
      </w:r>
    </w:p>
    <w:p w:rsidR="00447464"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p>
    <w:p w:rsidR="00447464" w:rsidRPr="00E21DED" w:rsidRDefault="00447464" w:rsidP="0026109D">
      <w:pPr>
        <w:jc w:val="center"/>
        <w:rPr>
          <w:rFonts w:ascii="Times New Roman" w:hAnsi="Times New Roman" w:cs="Times New Roman"/>
          <w:lang w:val="it-IT"/>
        </w:rPr>
      </w:pPr>
      <w:r w:rsidRPr="00E21DED">
        <w:rPr>
          <w:rFonts w:ascii="Times New Roman" w:hAnsi="Times New Roman" w:cs="Times New Roman"/>
          <w:lang w:val="it-IT"/>
        </w:rPr>
        <w:t>*   *   *   *  *</w:t>
      </w:r>
    </w:p>
    <w:p w:rsidR="00447464" w:rsidRDefault="00447464" w:rsidP="0026109D">
      <w:pPr>
        <w:jc w:val="center"/>
        <w:rPr>
          <w:rFonts w:ascii="Times New Roman" w:hAnsi="Times New Roman" w:cs="Times New Roman"/>
          <w:b w:val="0"/>
        </w:rPr>
      </w:pPr>
    </w:p>
    <w:p w:rsidR="00447464"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027622">
        <w:rPr>
          <w:rFonts w:ascii="Times New Roman" w:hAnsi="Times New Roman" w:cs="Times New Roman"/>
          <w:b w:val="0"/>
        </w:rPr>
        <w:t>The SPARK Institute and Investment Company Institute may release revised versions of the Glossary periodically.</w:t>
      </w:r>
      <w:r>
        <w:rPr>
          <w:rFonts w:ascii="Times New Roman" w:hAnsi="Times New Roman" w:cs="Times New Roman"/>
          <w:b w:val="0"/>
        </w:rPr>
        <w:t xml:space="preserve"> </w:t>
      </w:r>
      <w:r w:rsidRPr="00027622">
        <w:rPr>
          <w:rFonts w:ascii="Times New Roman" w:hAnsi="Times New Roman" w:cs="Times New Roman"/>
          <w:b w:val="0"/>
        </w:rPr>
        <w:t xml:space="preserve">General inquiries and questions about the Glossary should be submitted to </w:t>
      </w:r>
      <w:hyperlink r:id="rId20" w:history="1">
        <w:r w:rsidRPr="00027622">
          <w:rPr>
            <w:rStyle w:val="Hyperlink"/>
            <w:rFonts w:ascii="Times New Roman" w:hAnsi="Times New Roman"/>
            <w:b w:val="0"/>
          </w:rPr>
          <w:t>larry@sparkinstitute.org</w:t>
        </w:r>
      </w:hyperlink>
      <w:r w:rsidRPr="00027622">
        <w:rPr>
          <w:rFonts w:ascii="Times New Roman" w:hAnsi="Times New Roman" w:cs="Times New Roman"/>
          <w:b w:val="0"/>
        </w:rPr>
        <w:t xml:space="preserve"> and</w:t>
      </w:r>
      <w:r>
        <w:rPr>
          <w:rFonts w:ascii="Times New Roman" w:hAnsi="Times New Roman" w:cs="Times New Roman"/>
          <w:b w:val="0"/>
        </w:rPr>
        <w:t xml:space="preserve"> </w:t>
      </w:r>
      <w:hyperlink r:id="rId21" w:history="1">
        <w:r>
          <w:rPr>
            <w:rStyle w:val="Hyperlink"/>
            <w:rFonts w:ascii="Times New Roman" w:hAnsi="Times New Roman"/>
            <w:b w:val="0"/>
          </w:rPr>
          <w:t>glossary</w:t>
        </w:r>
        <w:r w:rsidRPr="00685F23">
          <w:rPr>
            <w:rStyle w:val="Hyperlink"/>
            <w:rFonts w:ascii="Times New Roman" w:hAnsi="Times New Roman"/>
            <w:b w:val="0"/>
          </w:rPr>
          <w:t>@ici.org</w:t>
        </w:r>
      </w:hyperlink>
      <w:r>
        <w:rPr>
          <w:rFonts w:ascii="Times New Roman" w:hAnsi="Times New Roman" w:cs="Times New Roman"/>
          <w:b w:val="0"/>
        </w:rPr>
        <w:t>.</w:t>
      </w:r>
    </w:p>
    <w:p w:rsidR="00447464" w:rsidRDefault="00447464" w:rsidP="00D60147">
      <w:pPr>
        <w:jc w:val="both"/>
        <w:rPr>
          <w:rFonts w:ascii="Times New Roman" w:hAnsi="Times New Roman" w:cs="Times New Roman"/>
          <w:b w:val="0"/>
          <w:bCs w:val="0"/>
        </w:rPr>
      </w:pPr>
    </w:p>
    <w:p w:rsidR="00447464" w:rsidRDefault="00447464" w:rsidP="00D60147">
      <w:pPr>
        <w:jc w:val="both"/>
        <w:rPr>
          <w:rFonts w:ascii="Times New Roman" w:hAnsi="Times New Roman" w:cs="Times New Roman"/>
          <w:b w:val="0"/>
          <w:bCs w:val="0"/>
        </w:rPr>
      </w:pPr>
    </w:p>
    <w:p w:rsidR="00447464" w:rsidRPr="00E21DED" w:rsidRDefault="00447464" w:rsidP="00E21DED">
      <w:pPr>
        <w:jc w:val="center"/>
        <w:rPr>
          <w:rFonts w:ascii="Times New Roman" w:hAnsi="Times New Roman" w:cs="Times New Roman"/>
          <w:lang w:val="it-IT"/>
        </w:rPr>
      </w:pPr>
      <w:r w:rsidRPr="00E21DED">
        <w:rPr>
          <w:rFonts w:ascii="Times New Roman" w:hAnsi="Times New Roman" w:cs="Times New Roman"/>
          <w:lang w:val="it-IT"/>
        </w:rPr>
        <w:lastRenderedPageBreak/>
        <w:t>*   *   *   *  *</w:t>
      </w:r>
    </w:p>
    <w:p w:rsidR="00447464" w:rsidRDefault="00447464" w:rsidP="000E6693">
      <w:pPr>
        <w:rPr>
          <w:rFonts w:ascii="Times New Roman" w:hAnsi="Times New Roman" w:cs="Times New Roman"/>
          <w:lang w:val="it-IT"/>
        </w:rPr>
      </w:pPr>
    </w:p>
    <w:p w:rsidR="00447464" w:rsidRPr="000E6693" w:rsidRDefault="00447464" w:rsidP="000E6693">
      <w:pPr>
        <w:rPr>
          <w:rFonts w:ascii="Times New Roman" w:hAnsi="Times New Roman" w:cs="Times New Roman"/>
          <w:lang w:val="it-IT"/>
        </w:rPr>
      </w:pPr>
    </w:p>
    <w:p w:rsidR="00447464" w:rsidRDefault="00447464" w:rsidP="00D60147">
      <w:pPr>
        <w:jc w:val="both"/>
        <w:rPr>
          <w:rFonts w:ascii="Times New Roman" w:hAnsi="Times New Roman" w:cs="Times New Roman"/>
          <w:smallCaps/>
          <w:lang w:val="it-IT"/>
        </w:rPr>
      </w:pPr>
      <w:r w:rsidRPr="006A04BA">
        <w:rPr>
          <w:rFonts w:ascii="Times New Roman" w:hAnsi="Times New Roman" w:cs="Times New Roman"/>
          <w:smallCaps/>
          <w:lang w:val="it-IT"/>
        </w:rPr>
        <w:t>The Glossary is intended to be a model compliance tool and it does not provide investment, legal</w:t>
      </w:r>
      <w:r>
        <w:rPr>
          <w:rFonts w:ascii="Times New Roman" w:hAnsi="Times New Roman" w:cs="Times New Roman"/>
          <w:smallCaps/>
          <w:lang w:val="it-IT"/>
        </w:rPr>
        <w:t>,</w:t>
      </w:r>
      <w:r w:rsidRPr="006A04BA">
        <w:rPr>
          <w:rFonts w:ascii="Times New Roman" w:hAnsi="Times New Roman" w:cs="Times New Roman"/>
          <w:smallCaps/>
          <w:lang w:val="it-IT"/>
        </w:rPr>
        <w:t xml:space="preserve"> or tax advice.</w:t>
      </w:r>
      <w:r>
        <w:rPr>
          <w:rFonts w:ascii="Times New Roman" w:hAnsi="Times New Roman" w:cs="Times New Roman"/>
          <w:smallCaps/>
          <w:lang w:val="it-IT"/>
        </w:rPr>
        <w:t xml:space="preserve"> </w:t>
      </w:r>
      <w:r w:rsidRPr="006A04BA">
        <w:rPr>
          <w:rFonts w:ascii="Times New Roman" w:hAnsi="Times New Roman" w:cs="Times New Roman"/>
          <w:smallCaps/>
          <w:lang w:val="it-IT"/>
        </w:rPr>
        <w:t>Use of the Glossary is voluntary.</w:t>
      </w:r>
      <w:r>
        <w:rPr>
          <w:rFonts w:ascii="Times New Roman" w:hAnsi="Times New Roman" w:cs="Times New Roman"/>
          <w:smallCaps/>
          <w:lang w:val="it-IT"/>
        </w:rPr>
        <w:t xml:space="preserve"> </w:t>
      </w:r>
      <w:r w:rsidRPr="006A04BA">
        <w:rPr>
          <w:rFonts w:ascii="Times New Roman" w:hAnsi="Times New Roman" w:cs="Times New Roman"/>
          <w:smallCaps/>
          <w:lang w:val="it-IT"/>
        </w:rPr>
        <w:t>This material has not been reviewed, approved, or authorized by any federal or state regulatory agency as meeting the requirements of any applicable rules or regulations.</w:t>
      </w:r>
      <w:r>
        <w:rPr>
          <w:rFonts w:ascii="Times New Roman" w:hAnsi="Times New Roman" w:cs="Times New Roman"/>
          <w:smallCaps/>
          <w:lang w:val="it-IT"/>
        </w:rPr>
        <w:t xml:space="preserve"> </w:t>
      </w:r>
      <w:r w:rsidRPr="006A04BA">
        <w:rPr>
          <w:rFonts w:ascii="Times New Roman" w:hAnsi="Times New Roman" w:cs="Times New Roman"/>
          <w:smallCaps/>
          <w:lang w:val="it-IT"/>
        </w:rPr>
        <w:t xml:space="preserve">It is not intended, nor should it be </w:t>
      </w:r>
      <w:r>
        <w:rPr>
          <w:rFonts w:ascii="Times New Roman" w:hAnsi="Times New Roman" w:cs="Times New Roman"/>
          <w:smallCaps/>
          <w:lang w:val="it-IT"/>
        </w:rPr>
        <w:t>re</w:t>
      </w:r>
      <w:r w:rsidRPr="006A04BA">
        <w:rPr>
          <w:rFonts w:ascii="Times New Roman" w:hAnsi="Times New Roman" w:cs="Times New Roman"/>
          <w:smallCaps/>
          <w:lang w:val="it-IT"/>
        </w:rPr>
        <w:t>lied upon, as a substitute for appropriate professional advice with respect to complying with the glossary requirement of the Department of Labor’s participant disclosure regulation or any other requirement.</w:t>
      </w:r>
    </w:p>
    <w:p w:rsidR="00447464" w:rsidRDefault="00447464" w:rsidP="00D60147">
      <w:pPr>
        <w:jc w:val="both"/>
        <w:rPr>
          <w:rFonts w:ascii="Times New Roman" w:hAnsi="Times New Roman" w:cs="Times New Roman"/>
          <w:b w:val="0"/>
          <w:smallCaps/>
          <w:lang w:val="it-IT"/>
        </w:rPr>
        <w:sectPr w:rsidR="00447464" w:rsidSect="002F14DE">
          <w:headerReference w:type="even" r:id="rId22"/>
          <w:headerReference w:type="default" r:id="rId23"/>
          <w:footerReference w:type="default" r:id="rId24"/>
          <w:headerReference w:type="first" r:id="rId25"/>
          <w:pgSz w:w="12240" w:h="15840" w:code="1"/>
          <w:pgMar w:top="576" w:right="1440" w:bottom="576" w:left="1440" w:header="720" w:footer="720" w:gutter="0"/>
          <w:pgNumType w:fmt="lowerRoman" w:start="1"/>
          <w:cols w:space="720"/>
          <w:docGrid w:linePitch="360"/>
        </w:sectPr>
      </w:pPr>
    </w:p>
    <w:p w:rsidR="00447464" w:rsidRDefault="00447464" w:rsidP="00D60147">
      <w:pPr>
        <w:jc w:val="both"/>
        <w:rPr>
          <w:rFonts w:ascii="Times New Roman" w:hAnsi="Times New Roman" w:cs="Times New Roman"/>
        </w:rPr>
      </w:pPr>
    </w:p>
    <w:p w:rsidR="00447464" w:rsidRDefault="00447464" w:rsidP="00E67AA8">
      <w:pPr>
        <w:jc w:val="center"/>
        <w:rPr>
          <w:rFonts w:ascii="Times New Roman" w:hAnsi="Times New Roman" w:cs="Times New Roman"/>
        </w:rPr>
      </w:pPr>
      <w:r>
        <w:rPr>
          <w:rFonts w:ascii="Times New Roman" w:hAnsi="Times New Roman" w:cs="Times New Roman"/>
        </w:rPr>
        <w:t>PART 1</w:t>
      </w:r>
    </w:p>
    <w:p w:rsidR="00447464" w:rsidRDefault="00447464" w:rsidP="00E67AA8">
      <w:pPr>
        <w:jc w:val="center"/>
        <w:rPr>
          <w:rFonts w:ascii="Times New Roman" w:hAnsi="Times New Roman" w:cs="Times New Roman"/>
        </w:rPr>
      </w:pPr>
    </w:p>
    <w:p w:rsidR="00447464" w:rsidRDefault="00447464" w:rsidP="00E67AA8">
      <w:pPr>
        <w:jc w:val="center"/>
        <w:rPr>
          <w:rFonts w:ascii="Times New Roman" w:hAnsi="Times New Roman" w:cs="Times New Roman"/>
          <w:u w:val="single"/>
        </w:rPr>
      </w:pPr>
      <w:r>
        <w:rPr>
          <w:rFonts w:ascii="Times New Roman" w:hAnsi="Times New Roman" w:cs="Times New Roman"/>
          <w:u w:val="single"/>
        </w:rPr>
        <w:t>General Investment-Related Terms</w:t>
      </w:r>
    </w:p>
    <w:p w:rsidR="00447464" w:rsidRDefault="00447464" w:rsidP="00E67AA8">
      <w:pPr>
        <w:jc w:val="center"/>
        <w:rPr>
          <w:rFonts w:ascii="Times New Roman" w:hAnsi="Times New Roman" w:cs="Times New Roman"/>
          <w:u w:val="single"/>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12b-1 Fee:</w:t>
      </w:r>
      <w:r w:rsidRPr="002C6EB2">
        <w:rPr>
          <w:rFonts w:ascii="Times New Roman" w:hAnsi="Times New Roman" w:cs="Times New Roman"/>
          <w:b w:val="0"/>
        </w:rPr>
        <w:t xml:space="preserve"> A fee assessed on certain mutual funds or share classes </w:t>
      </w:r>
      <w:r>
        <w:rPr>
          <w:rFonts w:ascii="Times New Roman" w:hAnsi="Times New Roman" w:cs="Times New Roman"/>
          <w:b w:val="0"/>
        </w:rPr>
        <w:t xml:space="preserve">permitted </w:t>
      </w:r>
      <w:r w:rsidRPr="002C6EB2">
        <w:rPr>
          <w:rFonts w:ascii="Times New Roman" w:hAnsi="Times New Roman" w:cs="Times New Roman"/>
          <w:b w:val="0"/>
        </w:rPr>
        <w:t>under an SEC rule to help cover the costs associated with marketing and selling the fund.</w:t>
      </w:r>
      <w:r>
        <w:rPr>
          <w:rFonts w:ascii="Times New Roman" w:hAnsi="Times New Roman" w:cs="Times New Roman"/>
          <w:b w:val="0"/>
        </w:rPr>
        <w:t xml:space="preserve"> </w:t>
      </w:r>
      <w:r w:rsidRPr="002C6EB2">
        <w:rPr>
          <w:rFonts w:ascii="Times New Roman" w:hAnsi="Times New Roman" w:cs="Times New Roman"/>
          <w:b w:val="0"/>
        </w:rPr>
        <w:t>12b-1 fees may also be used to cover shareholder servicing expenses.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Active Management:</w:t>
      </w:r>
      <w:r w:rsidRPr="002C6EB2">
        <w:rPr>
          <w:rFonts w:ascii="Times New Roman" w:hAnsi="Times New Roman" w:cs="Times New Roman"/>
          <w:b w:val="0"/>
        </w:rPr>
        <w:t xml:space="preserve"> The trading of securities to take advantage of market opportunities as they occur, in contrast to passive management.</w:t>
      </w:r>
      <w:r>
        <w:rPr>
          <w:rFonts w:ascii="Times New Roman" w:hAnsi="Times New Roman" w:cs="Times New Roman"/>
          <w:b w:val="0"/>
        </w:rPr>
        <w:t xml:space="preserve"> </w:t>
      </w:r>
      <w:r w:rsidRPr="002C6EB2">
        <w:rPr>
          <w:rFonts w:ascii="Times New Roman" w:hAnsi="Times New Roman" w:cs="Times New Roman"/>
          <w:b w:val="0"/>
        </w:rPr>
        <w:t>Active managers rely on research, market forecasts, and their own judgment and experience in selecting securities to buy and sell.</w:t>
      </w: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Aggressive:</w:t>
      </w:r>
      <w:r w:rsidRPr="002C6EB2">
        <w:rPr>
          <w:rFonts w:ascii="Times New Roman" w:hAnsi="Times New Roman" w:cs="Times New Roman"/>
          <w:b w:val="0"/>
        </w:rPr>
        <w:t xml:space="preserve"> An investment approach that accepts above-average risk</w:t>
      </w:r>
      <w:r>
        <w:rPr>
          <w:rFonts w:ascii="Times New Roman" w:hAnsi="Times New Roman" w:cs="Times New Roman"/>
          <w:b w:val="0"/>
        </w:rPr>
        <w:t xml:space="preserve"> of loss</w:t>
      </w:r>
      <w:r w:rsidRPr="002C6EB2">
        <w:rPr>
          <w:rFonts w:ascii="Times New Roman" w:hAnsi="Times New Roman" w:cs="Times New Roman"/>
          <w:b w:val="0"/>
        </w:rPr>
        <w:t xml:space="preserve"> in return for potentially above-average investment returns.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Aggressive Growth Fund:</w:t>
      </w:r>
      <w:r w:rsidRPr="002C6EB2">
        <w:rPr>
          <w:rFonts w:ascii="Times New Roman" w:hAnsi="Times New Roman" w:cs="Times New Roman"/>
          <w:b w:val="0"/>
        </w:rPr>
        <w:t xml:space="preserve"> An investment fund that takes higher risk </w:t>
      </w:r>
      <w:r>
        <w:rPr>
          <w:rFonts w:ascii="Times New Roman" w:hAnsi="Times New Roman" w:cs="Times New Roman"/>
          <w:b w:val="0"/>
        </w:rPr>
        <w:t xml:space="preserve">of loss </w:t>
      </w:r>
      <w:r w:rsidRPr="002C6EB2">
        <w:rPr>
          <w:rFonts w:ascii="Times New Roman" w:hAnsi="Times New Roman" w:cs="Times New Roman"/>
          <w:b w:val="0"/>
        </w:rPr>
        <w:t>in return for potentially higher returns or gains.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AMEX Major Market Index (XMI):</w:t>
      </w:r>
      <w:r w:rsidRPr="002C6EB2">
        <w:rPr>
          <w:rFonts w:ascii="Times New Roman" w:hAnsi="Times New Roman" w:cs="Times New Roman"/>
          <w:b w:val="0"/>
        </w:rPr>
        <w:t xml:space="preserve"> An index that is an average of 20 Blue Chip Industrial Stocks.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2" w:name="Amortization"/>
      <w:bookmarkStart w:id="3" w:name="annualreport"/>
      <w:bookmarkEnd w:id="2"/>
      <w:r w:rsidRPr="002C6EB2">
        <w:rPr>
          <w:rFonts w:ascii="Times New Roman" w:hAnsi="Times New Roman" w:cs="Times New Roman"/>
        </w:rPr>
        <w:t>Annual Report:</w:t>
      </w:r>
      <w:bookmarkEnd w:id="3"/>
      <w:r w:rsidRPr="002C6EB2">
        <w:rPr>
          <w:rFonts w:ascii="Times New Roman" w:hAnsi="Times New Roman" w:cs="Times New Roman"/>
          <w:b w:val="0"/>
        </w:rPr>
        <w:t xml:space="preserve"> A yearly report or record of an investment’s (e.g., a mutual fund’s or </w:t>
      </w:r>
      <w:r>
        <w:rPr>
          <w:rFonts w:ascii="Times New Roman" w:hAnsi="Times New Roman" w:cs="Times New Roman"/>
          <w:b w:val="0"/>
        </w:rPr>
        <w:t>company’s</w:t>
      </w:r>
      <w:r w:rsidRPr="002C6EB2">
        <w:rPr>
          <w:rFonts w:ascii="Times New Roman" w:hAnsi="Times New Roman" w:cs="Times New Roman"/>
          <w:b w:val="0"/>
        </w:rPr>
        <w:t>) financial position and operations.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Annual Rate of Return:</w:t>
      </w:r>
      <w:r w:rsidRPr="002C6EB2">
        <w:rPr>
          <w:rFonts w:ascii="Times New Roman" w:hAnsi="Times New Roman" w:cs="Times New Roman"/>
          <w:b w:val="0"/>
        </w:rPr>
        <w:t xml:space="preserve"> The annual rate of gain or loss on an investment expressed as a percentage.</w:t>
      </w:r>
    </w:p>
    <w:p w:rsidR="00447464"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4" w:name="appreciation"/>
      <w:r w:rsidRPr="002C6EB2">
        <w:rPr>
          <w:rFonts w:ascii="Times New Roman" w:hAnsi="Times New Roman" w:cs="Times New Roman"/>
        </w:rPr>
        <w:t>Appreciation:</w:t>
      </w:r>
      <w:bookmarkEnd w:id="4"/>
      <w:r w:rsidRPr="002C6EB2">
        <w:rPr>
          <w:rFonts w:ascii="Times New Roman" w:hAnsi="Times New Roman" w:cs="Times New Roman"/>
          <w:b w:val="0"/>
        </w:rPr>
        <w:t xml:space="preserve"> An increase in the value of an investment.</w:t>
      </w:r>
      <w:bookmarkStart w:id="5" w:name="asset"/>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Asset:</w:t>
      </w:r>
      <w:bookmarkEnd w:id="5"/>
      <w:r w:rsidRPr="002C6EB2">
        <w:rPr>
          <w:rFonts w:ascii="Times New Roman" w:hAnsi="Times New Roman" w:cs="Times New Roman"/>
          <w:b w:val="0"/>
        </w:rPr>
        <w:t xml:space="preserve"> Anything with commercial or exchange value owned by a business, institution or individual.</w:t>
      </w:r>
      <w:r>
        <w:rPr>
          <w:rFonts w:ascii="Times New Roman" w:hAnsi="Times New Roman" w:cs="Times New Roman"/>
          <w:b w:val="0"/>
        </w:rPr>
        <w:t xml:space="preserve"> </w:t>
      </w:r>
      <w:r w:rsidRPr="002C6EB2">
        <w:rPr>
          <w:rFonts w:ascii="Times New Roman" w:hAnsi="Times New Roman" w:cs="Times New Roman"/>
          <w:b w:val="0"/>
        </w:rPr>
        <w:t>Examples include cash, real estate and investments.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Asset Allocation:</w:t>
      </w:r>
      <w:r w:rsidRPr="002C6EB2">
        <w:rPr>
          <w:rFonts w:ascii="Times New Roman" w:hAnsi="Times New Roman" w:cs="Times New Roman"/>
          <w:b w:val="0"/>
        </w:rPr>
        <w:t xml:space="preserve"> A method of investing by which investors includ</w:t>
      </w:r>
      <w:r>
        <w:rPr>
          <w:rFonts w:ascii="Times New Roman" w:hAnsi="Times New Roman" w:cs="Times New Roman"/>
          <w:b w:val="0"/>
        </w:rPr>
        <w:t>e</w:t>
      </w:r>
      <w:r w:rsidRPr="002C6EB2">
        <w:rPr>
          <w:rFonts w:ascii="Times New Roman" w:hAnsi="Times New Roman" w:cs="Times New Roman"/>
          <w:b w:val="0"/>
        </w:rPr>
        <w:t xml:space="preserve"> a range of different investment classes </w:t>
      </w:r>
      <w:r>
        <w:rPr>
          <w:rFonts w:ascii="Times New Roman" w:hAnsi="Times New Roman" w:cs="Times New Roman"/>
          <w:b w:val="0"/>
        </w:rPr>
        <w:sym w:font="Symbol" w:char="F02D"/>
      </w:r>
      <w:r>
        <w:rPr>
          <w:rFonts w:ascii="Times New Roman" w:hAnsi="Times New Roman" w:cs="Times New Roman"/>
          <w:b w:val="0"/>
        </w:rPr>
        <w:t xml:space="preserve"> </w:t>
      </w:r>
      <w:r w:rsidRPr="002C6EB2">
        <w:rPr>
          <w:rFonts w:ascii="Times New Roman" w:hAnsi="Times New Roman" w:cs="Times New Roman"/>
          <w:b w:val="0"/>
        </w:rPr>
        <w:t xml:space="preserve">such as stocks, bonds, and cash </w:t>
      </w:r>
      <w:r>
        <w:rPr>
          <w:rFonts w:ascii="Times New Roman" w:hAnsi="Times New Roman" w:cs="Times New Roman"/>
          <w:b w:val="0"/>
        </w:rPr>
        <w:t>alternatives or equivalents</w:t>
      </w:r>
      <w:r w:rsidRPr="002C6EB2">
        <w:rPr>
          <w:rFonts w:ascii="Times New Roman" w:hAnsi="Times New Roman" w:cs="Times New Roman"/>
          <w:b w:val="0"/>
        </w:rPr>
        <w:t xml:space="preserve"> </w:t>
      </w:r>
      <w:r>
        <w:rPr>
          <w:rFonts w:ascii="Times New Roman" w:hAnsi="Times New Roman" w:cs="Times New Roman"/>
          <w:b w:val="0"/>
        </w:rPr>
        <w:sym w:font="Symbol" w:char="F02D"/>
      </w:r>
      <w:r w:rsidRPr="002C6EB2">
        <w:rPr>
          <w:rFonts w:ascii="Times New Roman" w:hAnsi="Times New Roman" w:cs="Times New Roman"/>
          <w:b w:val="0"/>
        </w:rPr>
        <w:t xml:space="preserve"> in their portfolios.</w:t>
      </w:r>
      <w:r>
        <w:rPr>
          <w:rFonts w:ascii="Times New Roman" w:hAnsi="Times New Roman" w:cs="Times New Roman"/>
          <w:b w:val="0"/>
        </w:rPr>
        <w:t xml:space="preserve"> </w:t>
      </w:r>
      <w:r w:rsidRPr="002C6EB2">
        <w:rPr>
          <w:rFonts w:ascii="Times New Roman" w:hAnsi="Times New Roman" w:cs="Times New Roman"/>
          <w:b w:val="0"/>
        </w:rPr>
        <w:t>See Diversification.</w:t>
      </w:r>
    </w:p>
    <w:p w:rsidR="00447464" w:rsidRPr="002C6EB2" w:rsidRDefault="00447464" w:rsidP="00D60147">
      <w:pPr>
        <w:jc w:val="both"/>
        <w:rPr>
          <w:rFonts w:ascii="Times New Roman" w:hAnsi="Times New Roman" w:cs="Times New Roman"/>
          <w:b w:val="0"/>
        </w:rPr>
      </w:pPr>
      <w:bookmarkStart w:id="6" w:name="asset-backed_security"/>
      <w:bookmarkEnd w:id="6"/>
    </w:p>
    <w:p w:rsidR="00447464" w:rsidRDefault="00447464" w:rsidP="00D60147">
      <w:pPr>
        <w:jc w:val="both"/>
        <w:rPr>
          <w:rFonts w:ascii="Times New Roman" w:hAnsi="Times New Roman" w:cs="Times New Roman"/>
          <w:b w:val="0"/>
        </w:rPr>
      </w:pPr>
      <w:r w:rsidRPr="002C6EB2">
        <w:rPr>
          <w:rFonts w:ascii="Times New Roman" w:hAnsi="Times New Roman" w:cs="Times New Roman"/>
        </w:rPr>
        <w:t>Asset Class:</w:t>
      </w:r>
      <w:r w:rsidRPr="002C6EB2">
        <w:rPr>
          <w:rFonts w:ascii="Times New Roman" w:hAnsi="Times New Roman" w:cs="Times New Roman"/>
          <w:b w:val="0"/>
        </w:rPr>
        <w:t xml:space="preserve"> A group of securities or investments that have similar characteristics and behave similarly in the marketplace.</w:t>
      </w:r>
      <w:r>
        <w:rPr>
          <w:rFonts w:ascii="Times New Roman" w:hAnsi="Times New Roman" w:cs="Times New Roman"/>
          <w:b w:val="0"/>
        </w:rPr>
        <w:t xml:space="preserve"> T</w:t>
      </w:r>
      <w:r w:rsidRPr="002C6EB2">
        <w:rPr>
          <w:rFonts w:ascii="Times New Roman" w:hAnsi="Times New Roman" w:cs="Times New Roman"/>
          <w:b w:val="0"/>
        </w:rPr>
        <w:t xml:space="preserve">hree </w:t>
      </w:r>
      <w:r>
        <w:rPr>
          <w:rFonts w:ascii="Times New Roman" w:hAnsi="Times New Roman" w:cs="Times New Roman"/>
          <w:b w:val="0"/>
        </w:rPr>
        <w:t xml:space="preserve">common </w:t>
      </w:r>
      <w:r w:rsidRPr="002C6EB2">
        <w:rPr>
          <w:rFonts w:ascii="Times New Roman" w:hAnsi="Times New Roman" w:cs="Times New Roman"/>
          <w:b w:val="0"/>
        </w:rPr>
        <w:t xml:space="preserve">asset classes are equities (e.g., stocks), fixed income (e.g., bonds), and </w:t>
      </w:r>
      <w:r w:rsidRPr="00753A41">
        <w:rPr>
          <w:rFonts w:ascii="Times New Roman" w:hAnsi="Times New Roman" w:cs="Times New Roman"/>
          <w:b w:val="0"/>
        </w:rPr>
        <w:t xml:space="preserve">cash </w:t>
      </w:r>
      <w:r>
        <w:rPr>
          <w:rFonts w:ascii="Times New Roman" w:hAnsi="Times New Roman" w:cs="Times New Roman"/>
          <w:b w:val="0"/>
        </w:rPr>
        <w:t xml:space="preserve">alternatives or </w:t>
      </w:r>
      <w:r w:rsidRPr="00753A41">
        <w:rPr>
          <w:rFonts w:ascii="Times New Roman" w:hAnsi="Times New Roman" w:cs="Times New Roman"/>
          <w:b w:val="0"/>
        </w:rPr>
        <w:t>equivalents (e.g., money market funds).</w:t>
      </w: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Average Annual Total Return:</w:t>
      </w:r>
      <w:r w:rsidRPr="002C6EB2">
        <w:rPr>
          <w:rFonts w:ascii="Times New Roman" w:hAnsi="Times New Roman" w:cs="Times New Roman"/>
          <w:b w:val="0"/>
        </w:rPr>
        <w:t xml:space="preserve"> The yearly average percentage increase or decrease in an investment’s value that includes dividends, gains, and changes in share price.</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Back-end Load:</w:t>
      </w:r>
      <w:r w:rsidRPr="002C6EB2">
        <w:rPr>
          <w:rFonts w:ascii="Times New Roman" w:hAnsi="Times New Roman" w:cs="Times New Roman"/>
          <w:b w:val="0"/>
        </w:rPr>
        <w:t xml:space="preserve"> A fee imposed by some funds when shares are redeemed (sold back to the fund) during the first few years of ownership. Also called a contingent deferred sales charge.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Balanced Fund:</w:t>
      </w:r>
      <w:r w:rsidRPr="002C6EB2">
        <w:rPr>
          <w:rFonts w:ascii="Times New Roman" w:hAnsi="Times New Roman" w:cs="Times New Roman"/>
          <w:b w:val="0"/>
        </w:rPr>
        <w:t xml:space="preserve"> A fund with an investment objective of both long-term growth and income, through investment in both stocks and bonds.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 xml:space="preserve">Barclay’s Capital </w:t>
      </w:r>
      <w:smartTag w:uri="urn:schemas-microsoft-com:office:smarttags" w:element="country-region">
        <w:r>
          <w:rPr>
            <w:rFonts w:ascii="Times New Roman" w:hAnsi="Times New Roman" w:cs="Times New Roman"/>
          </w:rPr>
          <w:t>U.S.</w:t>
        </w:r>
      </w:smartTag>
      <w:r>
        <w:rPr>
          <w:rFonts w:ascii="Times New Roman" w:hAnsi="Times New Roman" w:cs="Times New Roman"/>
        </w:rPr>
        <w:t xml:space="preserve"> </w:t>
      </w:r>
      <w:r w:rsidRPr="002C6EB2">
        <w:rPr>
          <w:rFonts w:ascii="Times New Roman" w:hAnsi="Times New Roman" w:cs="Times New Roman"/>
        </w:rPr>
        <w:t>Aggregate Bond Index:</w:t>
      </w:r>
      <w:r w:rsidRPr="002C6EB2">
        <w:rPr>
          <w:rFonts w:ascii="Times New Roman" w:hAnsi="Times New Roman" w:cs="Times New Roman"/>
          <w:b w:val="0"/>
        </w:rPr>
        <w:t xml:space="preserve"> A common index widely used to measure performance of </w:t>
      </w:r>
      <w:smartTag w:uri="urn:schemas-microsoft-com:office:smarttags" w:element="country-region">
        <w:smartTag w:uri="urn:schemas-microsoft-com:office:smarttags" w:element="place">
          <w:r w:rsidRPr="002C6EB2">
            <w:rPr>
              <w:rFonts w:ascii="Times New Roman" w:hAnsi="Times New Roman" w:cs="Times New Roman"/>
              <w:b w:val="0"/>
            </w:rPr>
            <w:t>U.S.</w:t>
          </w:r>
        </w:smartTag>
      </w:smartTag>
      <w:r w:rsidRPr="002C6EB2">
        <w:rPr>
          <w:rFonts w:ascii="Times New Roman" w:hAnsi="Times New Roman" w:cs="Times New Roman"/>
          <w:b w:val="0"/>
        </w:rPr>
        <w:t xml:space="preserve"> bond funds.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Basis Point:</w:t>
      </w:r>
      <w:r w:rsidRPr="002C6EB2">
        <w:rPr>
          <w:rFonts w:ascii="Times New Roman" w:hAnsi="Times New Roman" w:cs="Times New Roman"/>
          <w:b w:val="0"/>
        </w:rPr>
        <w:t xml:space="preserve"> One-hundredth of one percent, or 0.01%.</w:t>
      </w:r>
      <w:r>
        <w:rPr>
          <w:rFonts w:ascii="Times New Roman" w:hAnsi="Times New Roman" w:cs="Times New Roman"/>
          <w:b w:val="0"/>
        </w:rPr>
        <w:t xml:space="preserve"> </w:t>
      </w:r>
      <w:r w:rsidRPr="002C6EB2">
        <w:rPr>
          <w:rFonts w:ascii="Times New Roman" w:hAnsi="Times New Roman" w:cs="Times New Roman"/>
          <w:b w:val="0"/>
        </w:rPr>
        <w:t>For example, 20 basis points equal 0.20%.</w:t>
      </w:r>
      <w:r>
        <w:rPr>
          <w:rFonts w:ascii="Times New Roman" w:hAnsi="Times New Roman" w:cs="Times New Roman"/>
          <w:b w:val="0"/>
        </w:rPr>
        <w:t xml:space="preserve"> </w:t>
      </w:r>
      <w:r w:rsidRPr="002C6EB2">
        <w:rPr>
          <w:rFonts w:ascii="Times New Roman" w:hAnsi="Times New Roman" w:cs="Times New Roman"/>
          <w:b w:val="0"/>
        </w:rPr>
        <w:t>Investment expenses, interest rates, and yield differences among bonds are often expressed in basis points.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Benchmark:</w:t>
      </w:r>
      <w:r w:rsidRPr="002C6EB2">
        <w:rPr>
          <w:rFonts w:ascii="Times New Roman" w:hAnsi="Times New Roman" w:cs="Times New Roman"/>
          <w:b w:val="0"/>
        </w:rPr>
        <w:t xml:space="preserve"> An unmanaged group of securities whose performance is used as a standard to measure investment performance.</w:t>
      </w:r>
      <w:r>
        <w:rPr>
          <w:rFonts w:ascii="Times New Roman" w:hAnsi="Times New Roman" w:cs="Times New Roman"/>
          <w:b w:val="0"/>
        </w:rPr>
        <w:t xml:space="preserve"> </w:t>
      </w:r>
      <w:r w:rsidRPr="002C6EB2">
        <w:rPr>
          <w:rFonts w:ascii="Times New Roman" w:hAnsi="Times New Roman" w:cs="Times New Roman"/>
          <w:b w:val="0"/>
        </w:rPr>
        <w:t>Some well-known benchmarks are the Dow Jones Industrial Average and the S&amp;P 500 Index.</w:t>
      </w:r>
      <w:bookmarkStart w:id="7" w:name="Bond"/>
      <w:bookmarkEnd w:id="7"/>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Bond:</w:t>
      </w:r>
      <w:r w:rsidRPr="002C6EB2">
        <w:rPr>
          <w:rFonts w:ascii="Times New Roman" w:hAnsi="Times New Roman" w:cs="Times New Roman"/>
          <w:b w:val="0"/>
        </w:rPr>
        <w:t xml:space="preserve"> A debt security which represents the borrowing of money by a corporation</w:t>
      </w:r>
      <w:r>
        <w:rPr>
          <w:rFonts w:ascii="Times New Roman" w:hAnsi="Times New Roman" w:cs="Times New Roman"/>
          <w:b w:val="0"/>
        </w:rPr>
        <w:t xml:space="preserve">, </w:t>
      </w:r>
      <w:r w:rsidRPr="002C6EB2">
        <w:rPr>
          <w:rFonts w:ascii="Times New Roman" w:hAnsi="Times New Roman" w:cs="Times New Roman"/>
          <w:b w:val="0"/>
        </w:rPr>
        <w:t>government</w:t>
      </w:r>
      <w:r>
        <w:rPr>
          <w:rFonts w:ascii="Times New Roman" w:hAnsi="Times New Roman" w:cs="Times New Roman"/>
          <w:b w:val="0"/>
        </w:rPr>
        <w:t>, or other entity</w:t>
      </w:r>
      <w:r w:rsidRPr="002C6EB2">
        <w:rPr>
          <w:rFonts w:ascii="Times New Roman" w:hAnsi="Times New Roman" w:cs="Times New Roman"/>
          <w:b w:val="0"/>
        </w:rPr>
        <w:t>.</w:t>
      </w:r>
      <w:r>
        <w:rPr>
          <w:rFonts w:ascii="Times New Roman" w:hAnsi="Times New Roman" w:cs="Times New Roman"/>
          <w:b w:val="0"/>
        </w:rPr>
        <w:t xml:space="preserve"> </w:t>
      </w:r>
      <w:r w:rsidRPr="002C6EB2">
        <w:rPr>
          <w:rFonts w:ascii="Times New Roman" w:hAnsi="Times New Roman" w:cs="Times New Roman"/>
          <w:b w:val="0"/>
        </w:rPr>
        <w:t>The borrowing institution repays the amount of the loan plus a percentage as interest. Income funds generally invest in bonds.</w:t>
      </w:r>
    </w:p>
    <w:p w:rsidR="00447464" w:rsidRPr="002C6EB2" w:rsidRDefault="00447464" w:rsidP="00D60147">
      <w:pPr>
        <w:jc w:val="both"/>
        <w:rPr>
          <w:rFonts w:ascii="Times New Roman" w:hAnsi="Times New Roman" w:cs="Times New Roman"/>
          <w:b w:val="0"/>
        </w:rPr>
      </w:pPr>
      <w:bookmarkStart w:id="8" w:name="bondfund"/>
    </w:p>
    <w:p w:rsidR="00447464" w:rsidRDefault="00447464" w:rsidP="00D60147">
      <w:pPr>
        <w:jc w:val="both"/>
        <w:rPr>
          <w:rFonts w:ascii="Times New Roman" w:hAnsi="Times New Roman" w:cs="Times New Roman"/>
          <w:b w:val="0"/>
        </w:rPr>
      </w:pPr>
      <w:r w:rsidRPr="002C6EB2">
        <w:rPr>
          <w:rFonts w:ascii="Times New Roman" w:hAnsi="Times New Roman" w:cs="Times New Roman"/>
        </w:rPr>
        <w:t>Bond Fund:</w:t>
      </w:r>
      <w:bookmarkEnd w:id="8"/>
      <w:r w:rsidRPr="002C6EB2">
        <w:rPr>
          <w:rFonts w:ascii="Times New Roman" w:hAnsi="Times New Roman" w:cs="Times New Roman"/>
          <w:b w:val="0"/>
        </w:rPr>
        <w:t xml:space="preserve"> A fund that invests primarily in bonds and other debt instruments.</w:t>
      </w:r>
    </w:p>
    <w:p w:rsidR="00447464" w:rsidRPr="002C6EB2" w:rsidRDefault="00447464" w:rsidP="00D60147">
      <w:pPr>
        <w:jc w:val="both"/>
        <w:rPr>
          <w:rFonts w:ascii="Times New Roman" w:hAnsi="Times New Roman" w:cs="Times New Roman"/>
          <w:b w:val="0"/>
        </w:rPr>
      </w:pPr>
    </w:p>
    <w:p w:rsidR="00447464" w:rsidRDefault="00447464" w:rsidP="00C2163E">
      <w:pPr>
        <w:jc w:val="both"/>
        <w:rPr>
          <w:rFonts w:ascii="Times New Roman" w:hAnsi="Times New Roman" w:cs="Times New Roman"/>
          <w:b w:val="0"/>
        </w:rPr>
      </w:pPr>
      <w:r w:rsidRPr="002C6EB2">
        <w:rPr>
          <w:rFonts w:ascii="Times New Roman" w:hAnsi="Times New Roman" w:cs="Times New Roman"/>
        </w:rPr>
        <w:t>Bond Rating:</w:t>
      </w:r>
      <w:r w:rsidRPr="002C6EB2">
        <w:rPr>
          <w:rFonts w:ascii="Times New Roman" w:hAnsi="Times New Roman" w:cs="Times New Roman"/>
          <w:b w:val="0"/>
        </w:rPr>
        <w:t xml:space="preserve"> A rating or grade that is intended to indicate the credit quality of a bond, considering the financial strength of its issuer and the likelihood that it will repay the debt.</w:t>
      </w:r>
      <w:r>
        <w:rPr>
          <w:rFonts w:ascii="Times New Roman" w:hAnsi="Times New Roman" w:cs="Times New Roman"/>
          <w:b w:val="0"/>
        </w:rPr>
        <w:t xml:space="preserve"> </w:t>
      </w:r>
      <w:r w:rsidRPr="002C6EB2">
        <w:rPr>
          <w:rFonts w:ascii="Times New Roman" w:hAnsi="Times New Roman" w:cs="Times New Roman"/>
          <w:b w:val="0"/>
        </w:rPr>
        <w:t>Agencies such as Standard &amp; Poor’s</w:t>
      </w:r>
      <w:r>
        <w:rPr>
          <w:rFonts w:ascii="Times New Roman" w:hAnsi="Times New Roman" w:cs="Times New Roman"/>
          <w:b w:val="0"/>
        </w:rPr>
        <w:t>,</w:t>
      </w:r>
      <w:r w:rsidRPr="002C6EB2">
        <w:rPr>
          <w:rFonts w:ascii="Times New Roman" w:hAnsi="Times New Roman" w:cs="Times New Roman"/>
          <w:b w:val="0"/>
        </w:rPr>
        <w:t xml:space="preserve"> Moody’s Investors Service</w:t>
      </w:r>
      <w:r>
        <w:rPr>
          <w:rFonts w:ascii="Times New Roman" w:hAnsi="Times New Roman" w:cs="Times New Roman"/>
          <w:b w:val="0"/>
        </w:rPr>
        <w:t>, and Fitch</w:t>
      </w:r>
      <w:r w:rsidRPr="002C6EB2">
        <w:rPr>
          <w:rFonts w:ascii="Times New Roman" w:hAnsi="Times New Roman" w:cs="Times New Roman"/>
          <w:b w:val="0"/>
        </w:rPr>
        <w:t xml:space="preserve"> issue ratings for different bonds, ranging from AAA (highly unlikely to default) to D (in default).</w:t>
      </w:r>
    </w:p>
    <w:p w:rsidR="00447464" w:rsidRPr="002C6EB2" w:rsidRDefault="00447464" w:rsidP="00D60147">
      <w:pPr>
        <w:jc w:val="both"/>
        <w:rPr>
          <w:rFonts w:ascii="Times New Roman" w:hAnsi="Times New Roman" w:cs="Times New Roman"/>
          <w:b w:val="0"/>
        </w:rPr>
      </w:pPr>
      <w:bookmarkStart w:id="9" w:name="capapp"/>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Broker:</w:t>
      </w:r>
      <w:r w:rsidRPr="002C6EB2">
        <w:rPr>
          <w:rFonts w:ascii="Times New Roman" w:hAnsi="Times New Roman" w:cs="Times New Roman"/>
          <w:b w:val="0"/>
        </w:rPr>
        <w:t xml:space="preserve"> A person who acts as an intermediary between the buyer and seller of a security, insurance product, or mutual fund, often paid by commission.</w:t>
      </w:r>
      <w:r>
        <w:rPr>
          <w:rFonts w:ascii="Times New Roman" w:hAnsi="Times New Roman" w:cs="Times New Roman"/>
          <w:b w:val="0"/>
        </w:rPr>
        <w:t xml:space="preserve"> </w:t>
      </w:r>
      <w:r w:rsidRPr="002C6EB2">
        <w:rPr>
          <w:rFonts w:ascii="Times New Roman" w:hAnsi="Times New Roman" w:cs="Times New Roman"/>
          <w:b w:val="0"/>
        </w:rPr>
        <w:t>The terms broker, broker/dealer, and dealer are sometimes used interchangeably.</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Brokerage Window</w:t>
      </w:r>
      <w:r w:rsidRPr="002C27C5">
        <w:rPr>
          <w:rFonts w:ascii="Times New Roman" w:hAnsi="Times New Roman" w:cs="Times New Roman"/>
        </w:rPr>
        <w:t>:</w:t>
      </w:r>
      <w:r w:rsidRPr="002C6EB2">
        <w:rPr>
          <w:rFonts w:ascii="Times New Roman" w:hAnsi="Times New Roman" w:cs="Times New Roman"/>
          <w:b w:val="0"/>
        </w:rPr>
        <w:t xml:space="preserve"> A plan feature that permits participants to purchase investments that are not included among the plan’s general menu of </w:t>
      </w:r>
      <w:r>
        <w:rPr>
          <w:rFonts w:ascii="Times New Roman" w:hAnsi="Times New Roman" w:cs="Times New Roman"/>
          <w:b w:val="0"/>
        </w:rPr>
        <w:t xml:space="preserve">designated </w:t>
      </w:r>
      <w:r w:rsidRPr="002C6EB2">
        <w:rPr>
          <w:rFonts w:ascii="Times New Roman" w:hAnsi="Times New Roman" w:cs="Times New Roman"/>
          <w:b w:val="0"/>
        </w:rPr>
        <w:t xml:space="preserve">investment </w:t>
      </w:r>
      <w:r>
        <w:rPr>
          <w:rFonts w:ascii="Times New Roman" w:hAnsi="Times New Roman" w:cs="Times New Roman"/>
          <w:b w:val="0"/>
        </w:rPr>
        <w:t>alternatives</w:t>
      </w:r>
      <w:r w:rsidRPr="002C6EB2">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Capitalization (Cap</w:t>
      </w:r>
      <w:r w:rsidRPr="002C27C5">
        <w:rPr>
          <w:rFonts w:ascii="Times New Roman" w:hAnsi="Times New Roman" w:cs="Times New Roman"/>
          <w:b w:val="0"/>
        </w:rPr>
        <w:t>)</w:t>
      </w:r>
      <w:r w:rsidRPr="002C27C5">
        <w:rPr>
          <w:rFonts w:ascii="Times New Roman" w:hAnsi="Times New Roman" w:cs="Times New Roman"/>
        </w:rPr>
        <w:t>:</w:t>
      </w:r>
      <w:r w:rsidRPr="002C6EB2">
        <w:rPr>
          <w:rFonts w:ascii="Times New Roman" w:hAnsi="Times New Roman" w:cs="Times New Roman"/>
          <w:b w:val="0"/>
        </w:rPr>
        <w:t xml:space="preserve"> The total market value of a company's outstanding equity.</w:t>
      </w:r>
      <w:bookmarkEnd w:id="9"/>
    </w:p>
    <w:p w:rsidR="00447464" w:rsidRPr="002C6EB2" w:rsidRDefault="00447464" w:rsidP="00D60147">
      <w:pPr>
        <w:jc w:val="both"/>
        <w:rPr>
          <w:rFonts w:ascii="Times New Roman" w:hAnsi="Times New Roman" w:cs="Times New Roman"/>
          <w:b w:val="0"/>
        </w:rPr>
      </w:pPr>
      <w:bookmarkStart w:id="10" w:name="capgain"/>
    </w:p>
    <w:p w:rsidR="00447464" w:rsidRDefault="00447464" w:rsidP="00D60147">
      <w:pPr>
        <w:jc w:val="both"/>
        <w:rPr>
          <w:rFonts w:ascii="Times New Roman" w:hAnsi="Times New Roman" w:cs="Times New Roman"/>
          <w:b w:val="0"/>
        </w:rPr>
      </w:pPr>
      <w:r w:rsidRPr="002C6EB2">
        <w:rPr>
          <w:rFonts w:ascii="Times New Roman" w:hAnsi="Times New Roman" w:cs="Times New Roman"/>
        </w:rPr>
        <w:t>Capital Appreciation Fund:</w:t>
      </w:r>
      <w:r w:rsidRPr="002C6EB2">
        <w:rPr>
          <w:rFonts w:ascii="Times New Roman" w:hAnsi="Times New Roman" w:cs="Times New Roman"/>
          <w:b w:val="0"/>
        </w:rPr>
        <w:t xml:space="preserve"> An investment fund that seeks growth in share prices by investing primarily in stocks whose share prices are expected to rise.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Capital Gain:</w:t>
      </w:r>
      <w:bookmarkEnd w:id="10"/>
      <w:r w:rsidRPr="002C6EB2">
        <w:rPr>
          <w:rFonts w:ascii="Times New Roman" w:hAnsi="Times New Roman" w:cs="Times New Roman"/>
          <w:b w:val="0"/>
        </w:rPr>
        <w:t xml:space="preserve"> An increase in the value of an investment, calculated by the difference between the net purchase price and the net sale price.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Capital Loss:</w:t>
      </w:r>
      <w:r w:rsidRPr="002C6EB2">
        <w:rPr>
          <w:rFonts w:ascii="Times New Roman" w:hAnsi="Times New Roman" w:cs="Times New Roman"/>
          <w:b w:val="0"/>
        </w:rPr>
        <w:t xml:space="preserve"> The loss in the value of an </w:t>
      </w:r>
      <w:r w:rsidRPr="00427BC4">
        <w:rPr>
          <w:rFonts w:ascii="Times New Roman" w:hAnsi="Times New Roman" w:cs="Times New Roman"/>
          <w:b w:val="0"/>
        </w:rPr>
        <w:t>investment</w:t>
      </w:r>
      <w:r w:rsidRPr="002C6EB2">
        <w:rPr>
          <w:rFonts w:ascii="Times New Roman" w:hAnsi="Times New Roman" w:cs="Times New Roman"/>
          <w:b w:val="0"/>
        </w:rPr>
        <w:t>, calculated by the difference between the purchase price and the net sale price.</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Capital Preservation:</w:t>
      </w:r>
      <w:r w:rsidRPr="002C6EB2">
        <w:rPr>
          <w:rFonts w:ascii="Times New Roman" w:hAnsi="Times New Roman" w:cs="Times New Roman"/>
          <w:b w:val="0"/>
        </w:rPr>
        <w:t xml:space="preserve"> An investment goal or objective to keep the original investment amount (the principal) from decreasing in value.</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 xml:space="preserve">Cash </w:t>
      </w:r>
      <w:r>
        <w:rPr>
          <w:rFonts w:ascii="Times New Roman" w:hAnsi="Times New Roman" w:cs="Times New Roman"/>
        </w:rPr>
        <w:t xml:space="preserve">Alternative or Cash </w:t>
      </w:r>
      <w:r w:rsidRPr="002C6EB2">
        <w:rPr>
          <w:rFonts w:ascii="Times New Roman" w:hAnsi="Times New Roman" w:cs="Times New Roman"/>
        </w:rPr>
        <w:t>Equivalent:</w:t>
      </w:r>
      <w:r w:rsidRPr="002C6EB2">
        <w:rPr>
          <w:rFonts w:ascii="Times New Roman" w:hAnsi="Times New Roman" w:cs="Times New Roman"/>
          <w:b w:val="0"/>
        </w:rPr>
        <w:t xml:space="preserve"> An investment that is short term, highly liquid, and has high credit quality.</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27C5">
        <w:rPr>
          <w:rFonts w:ascii="Times New Roman" w:hAnsi="Times New Roman" w:cs="Times New Roman"/>
        </w:rPr>
        <w:t xml:space="preserve">Collective </w:t>
      </w:r>
      <w:r>
        <w:rPr>
          <w:rFonts w:ascii="Times New Roman" w:hAnsi="Times New Roman" w:cs="Times New Roman"/>
        </w:rPr>
        <w:t>Investment Fund</w:t>
      </w:r>
      <w:r w:rsidRPr="002C27C5">
        <w:rPr>
          <w:rFonts w:ascii="Times New Roman" w:hAnsi="Times New Roman" w:cs="Times New Roman"/>
        </w:rPr>
        <w:t>:</w:t>
      </w:r>
      <w:r w:rsidRPr="002C6EB2">
        <w:rPr>
          <w:rFonts w:ascii="Times New Roman" w:hAnsi="Times New Roman" w:cs="Times New Roman"/>
          <w:b w:val="0"/>
        </w:rPr>
        <w:t xml:space="preserve"> Investments created </w:t>
      </w:r>
      <w:r>
        <w:rPr>
          <w:rFonts w:ascii="Times New Roman" w:hAnsi="Times New Roman" w:cs="Times New Roman"/>
          <w:b w:val="0"/>
        </w:rPr>
        <w:t xml:space="preserve">by a bank or trust company </w:t>
      </w:r>
      <w:r w:rsidRPr="002C6EB2">
        <w:rPr>
          <w:rFonts w:ascii="Times New Roman" w:hAnsi="Times New Roman" w:cs="Times New Roman"/>
          <w:b w:val="0"/>
        </w:rPr>
        <w:t xml:space="preserve">for employee benefit plans, such as </w:t>
      </w:r>
      <w:smartTag w:uri="urn:schemas-microsoft-com:office:smarttags" w:element="PersonName">
        <w:r w:rsidRPr="002C6EB2">
          <w:rPr>
            <w:rFonts w:ascii="Times New Roman" w:hAnsi="Times New Roman" w:cs="Times New Roman"/>
            <w:b w:val="0"/>
          </w:rPr>
          <w:t>401</w:t>
        </w:r>
      </w:smartTag>
      <w:r w:rsidRPr="002C6EB2">
        <w:rPr>
          <w:rFonts w:ascii="Times New Roman" w:hAnsi="Times New Roman" w:cs="Times New Roman"/>
          <w:b w:val="0"/>
        </w:rPr>
        <w:t>(k) plans, that pool the assets of retirement plans for investment purposes.</w:t>
      </w:r>
      <w:r>
        <w:rPr>
          <w:rFonts w:ascii="Times New Roman" w:hAnsi="Times New Roman" w:cs="Times New Roman"/>
          <w:b w:val="0"/>
        </w:rPr>
        <w:t xml:space="preserve"> </w:t>
      </w:r>
      <w:r w:rsidRPr="006304A0">
        <w:rPr>
          <w:rFonts w:ascii="Times New Roman" w:hAnsi="Times New Roman" w:cs="Times New Roman"/>
          <w:b w:val="0"/>
        </w:rPr>
        <w:t xml:space="preserve">They are governed </w:t>
      </w:r>
      <w:r>
        <w:rPr>
          <w:rFonts w:ascii="Times New Roman" w:hAnsi="Times New Roman" w:cs="Times New Roman"/>
          <w:b w:val="0"/>
        </w:rPr>
        <w:t xml:space="preserve">by </w:t>
      </w:r>
      <w:r w:rsidRPr="006304A0">
        <w:rPr>
          <w:rFonts w:ascii="Times New Roman" w:hAnsi="Times New Roman" w:cs="Times New Roman"/>
          <w:b w:val="0"/>
        </w:rPr>
        <w:t>rules and regulations that apply to banks and trust companies instead of being registered with the SEC.</w:t>
      </w:r>
      <w:r>
        <w:rPr>
          <w:rFonts w:ascii="Times New Roman" w:hAnsi="Times New Roman" w:cs="Times New Roman"/>
          <w:b w:val="0"/>
        </w:rPr>
        <w:t xml:space="preserve"> These funds are also referred to as collective or commingled trusts.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Commission:</w:t>
      </w:r>
      <w:r w:rsidRPr="002C6EB2">
        <w:rPr>
          <w:rFonts w:ascii="Times New Roman" w:hAnsi="Times New Roman" w:cs="Times New Roman"/>
          <w:b w:val="0"/>
        </w:rPr>
        <w:t xml:space="preserve"> Compensation paid to a broker or other salesperson for his or her role when investments are bought or sold.</w:t>
      </w:r>
      <w:bookmarkStart w:id="11" w:name="common"/>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Common Stock:</w:t>
      </w:r>
      <w:bookmarkEnd w:id="11"/>
      <w:r w:rsidRPr="002C6EB2">
        <w:rPr>
          <w:rFonts w:ascii="Times New Roman" w:hAnsi="Times New Roman" w:cs="Times New Roman"/>
          <w:b w:val="0"/>
        </w:rPr>
        <w:t xml:space="preserve"> An investment that represents a share of ownership in a corporation.</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Company Stock Fund:</w:t>
      </w:r>
      <w:r w:rsidRPr="002C6EB2">
        <w:rPr>
          <w:rFonts w:ascii="Times New Roman" w:hAnsi="Times New Roman" w:cs="Times New Roman"/>
          <w:b w:val="0"/>
        </w:rPr>
        <w:t xml:space="preserve"> A fund that invests primarily in employer securities that may </w:t>
      </w:r>
      <w:r>
        <w:rPr>
          <w:rFonts w:ascii="Times New Roman" w:hAnsi="Times New Roman" w:cs="Times New Roman"/>
          <w:b w:val="0"/>
        </w:rPr>
        <w:t xml:space="preserve">also </w:t>
      </w:r>
      <w:r w:rsidRPr="002C6EB2">
        <w:rPr>
          <w:rFonts w:ascii="Times New Roman" w:hAnsi="Times New Roman" w:cs="Times New Roman"/>
          <w:b w:val="0"/>
        </w:rPr>
        <w:t>maintain a cash position for liquidity purposes.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Competing Funds:</w:t>
      </w:r>
      <w:r w:rsidRPr="002C6EB2">
        <w:rPr>
          <w:rFonts w:ascii="Times New Roman" w:hAnsi="Times New Roman" w:cs="Times New Roman"/>
          <w:b w:val="0"/>
        </w:rPr>
        <w:t xml:space="preserve"> An investment fund that is identified by the investment manager of another fund and which is subject to special rules relating to an investor’s ability to buy and sell investments between the two funds.</w:t>
      </w:r>
      <w:r>
        <w:rPr>
          <w:rFonts w:ascii="Times New Roman" w:hAnsi="Times New Roman" w:cs="Times New Roman"/>
          <w:b w:val="0"/>
        </w:rPr>
        <w:t xml:space="preserve"> See Equity Wash Restriction.</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Compounding:</w:t>
      </w:r>
      <w:r w:rsidRPr="002C6EB2">
        <w:rPr>
          <w:rFonts w:ascii="Times New Roman" w:hAnsi="Times New Roman" w:cs="Times New Roman"/>
          <w:b w:val="0"/>
        </w:rPr>
        <w:t xml:space="preserve"> The cumulative effect that reinvesting an investment’s earnings can have by generating additional earnings of their own.</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bookmarkStart w:id="12" w:name="ConduitIRA"/>
      <w:bookmarkEnd w:id="12"/>
      <w:r w:rsidRPr="002C6EB2">
        <w:rPr>
          <w:rFonts w:ascii="Times New Roman" w:hAnsi="Times New Roman" w:cs="Times New Roman"/>
        </w:rPr>
        <w:t>Conservative:</w:t>
      </w:r>
      <w:r w:rsidRPr="002C6EB2">
        <w:rPr>
          <w:rFonts w:ascii="Times New Roman" w:hAnsi="Times New Roman" w:cs="Times New Roman"/>
          <w:b w:val="0"/>
        </w:rPr>
        <w:t xml:space="preserve"> An investment approach that accepts lower rewards in return for potentially lower risks.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Contingent Deferred Sales Charge (CDSC):</w:t>
      </w:r>
      <w:r w:rsidRPr="002C6EB2">
        <w:rPr>
          <w:rFonts w:ascii="Times New Roman" w:hAnsi="Times New Roman" w:cs="Times New Roman"/>
          <w:b w:val="0"/>
        </w:rPr>
        <w:t xml:space="preserve"> A fee imposed when shares of a mutual fund or a </w:t>
      </w:r>
      <w:r w:rsidRPr="00427BC4">
        <w:rPr>
          <w:rFonts w:ascii="Times New Roman" w:hAnsi="Times New Roman" w:cs="Times New Roman"/>
          <w:b w:val="0"/>
        </w:rPr>
        <w:t>variable annuity</w:t>
      </w:r>
      <w:r w:rsidRPr="002C6EB2">
        <w:rPr>
          <w:rFonts w:ascii="Times New Roman" w:hAnsi="Times New Roman" w:cs="Times New Roman"/>
          <w:b w:val="0"/>
        </w:rPr>
        <w:t xml:space="preserve"> contract are redeemed (sold) during the first few years of ownership.</w:t>
      </w:r>
      <w:r>
        <w:rPr>
          <w:rFonts w:ascii="Times New Roman" w:hAnsi="Times New Roman" w:cs="Times New Roman"/>
          <w:b w:val="0"/>
        </w:rPr>
        <w:t xml:space="preserve"> </w:t>
      </w:r>
      <w:r w:rsidRPr="002C6EB2">
        <w:rPr>
          <w:rFonts w:ascii="Times New Roman" w:hAnsi="Times New Roman" w:cs="Times New Roman"/>
          <w:b w:val="0"/>
        </w:rPr>
        <w:t>Also called a back-end load.</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Corporate Bond:</w:t>
      </w:r>
      <w:r w:rsidRPr="002C6EB2">
        <w:rPr>
          <w:rFonts w:ascii="Times New Roman" w:hAnsi="Times New Roman" w:cs="Times New Roman"/>
          <w:b w:val="0"/>
        </w:rPr>
        <w:t xml:space="preserve"> A bond issued by a corporation, rather than by a government.</w:t>
      </w:r>
      <w:r>
        <w:rPr>
          <w:rFonts w:ascii="Times New Roman" w:hAnsi="Times New Roman" w:cs="Times New Roman"/>
          <w:b w:val="0"/>
        </w:rPr>
        <w:t xml:space="preserve"> </w:t>
      </w:r>
      <w:r w:rsidRPr="002C6EB2">
        <w:rPr>
          <w:rFonts w:ascii="Times New Roman" w:hAnsi="Times New Roman" w:cs="Times New Roman"/>
          <w:b w:val="0"/>
        </w:rPr>
        <w:t xml:space="preserve">The credit risk for a corporate bond is based on the </w:t>
      </w:r>
      <w:r>
        <w:rPr>
          <w:rFonts w:ascii="Times New Roman" w:hAnsi="Times New Roman" w:cs="Times New Roman"/>
          <w:b w:val="0"/>
        </w:rPr>
        <w:t>re-</w:t>
      </w:r>
      <w:r w:rsidRPr="002C6EB2">
        <w:rPr>
          <w:rFonts w:ascii="Times New Roman" w:hAnsi="Times New Roman" w:cs="Times New Roman"/>
          <w:b w:val="0"/>
        </w:rPr>
        <w:t>payment ability of the company that issued the bond.</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426E27">
        <w:rPr>
          <w:rFonts w:ascii="Times New Roman" w:hAnsi="Times New Roman" w:cs="Times New Roman"/>
        </w:rPr>
        <w:t>Credit Risk:</w:t>
      </w:r>
      <w:r w:rsidRPr="002C6EB2">
        <w:rPr>
          <w:rFonts w:ascii="Times New Roman" w:hAnsi="Times New Roman" w:cs="Times New Roman"/>
          <w:b w:val="0"/>
        </w:rPr>
        <w:t xml:space="preserve"> The risk that a bond issuer will default, meaning not repay principal or interest to the investor as promised.</w:t>
      </w:r>
      <w:r>
        <w:rPr>
          <w:rFonts w:ascii="Times New Roman" w:hAnsi="Times New Roman" w:cs="Times New Roman"/>
          <w:b w:val="0"/>
        </w:rPr>
        <w:t xml:space="preserve"> </w:t>
      </w:r>
      <w:r w:rsidRPr="002C6EB2">
        <w:rPr>
          <w:rFonts w:ascii="Times New Roman" w:hAnsi="Times New Roman" w:cs="Times New Roman"/>
          <w:b w:val="0"/>
        </w:rPr>
        <w:t>Credit risk is also known as "default risk."</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bookmarkStart w:id="13" w:name="cross-reinvesting"/>
      <w:bookmarkEnd w:id="13"/>
      <w:r w:rsidRPr="002C6EB2">
        <w:rPr>
          <w:rFonts w:ascii="Times New Roman" w:hAnsi="Times New Roman" w:cs="Times New Roman"/>
        </w:rPr>
        <w:t>Current Yield:</w:t>
      </w:r>
      <w:r w:rsidRPr="002C6EB2">
        <w:rPr>
          <w:rFonts w:ascii="Times New Roman" w:hAnsi="Times New Roman" w:cs="Times New Roman"/>
          <w:b w:val="0"/>
        </w:rPr>
        <w:t xml:space="preserve"> The current rate of return of an investment calculated by dividing its expected income payments by its current market price.</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Custodian:</w:t>
      </w:r>
      <w:r w:rsidRPr="002C6EB2">
        <w:rPr>
          <w:rFonts w:ascii="Times New Roman" w:hAnsi="Times New Roman" w:cs="Times New Roman"/>
          <w:b w:val="0"/>
        </w:rPr>
        <w:t xml:space="preserve"> A person or entity (e.g., bank, trust company, or other organization) responsible for holding financial assets.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426E27">
        <w:rPr>
          <w:rFonts w:ascii="Times New Roman" w:hAnsi="Times New Roman" w:cs="Times New Roman"/>
        </w:rPr>
        <w:t>Deflation:</w:t>
      </w:r>
      <w:r w:rsidRPr="002C6EB2">
        <w:rPr>
          <w:rFonts w:ascii="Times New Roman" w:hAnsi="Times New Roman" w:cs="Times New Roman"/>
          <w:b w:val="0"/>
        </w:rPr>
        <w:t xml:space="preserve"> The opposite of inflation</w:t>
      </w:r>
      <w:r>
        <w:rPr>
          <w:rFonts w:ascii="Times New Roman" w:hAnsi="Times New Roman" w:cs="Times New Roman"/>
          <w:b w:val="0"/>
        </w:rPr>
        <w:t xml:space="preserve"> </w:t>
      </w:r>
      <w:r>
        <w:rPr>
          <w:rFonts w:ascii="Times New Roman" w:hAnsi="Times New Roman" w:cs="Times New Roman"/>
          <w:b w:val="0"/>
        </w:rPr>
        <w:sym w:font="Symbol" w:char="F02D"/>
      </w:r>
      <w:r>
        <w:rPr>
          <w:rFonts w:ascii="Times New Roman" w:hAnsi="Times New Roman" w:cs="Times New Roman"/>
          <w:b w:val="0"/>
        </w:rPr>
        <w:t xml:space="preserve"> </w:t>
      </w:r>
      <w:r w:rsidRPr="002C6EB2">
        <w:rPr>
          <w:rFonts w:ascii="Times New Roman" w:hAnsi="Times New Roman" w:cs="Times New Roman"/>
          <w:b w:val="0"/>
        </w:rPr>
        <w:t>a decline in the prices of goods and services.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r>
        <w:rPr>
          <w:rFonts w:ascii="Times New Roman" w:hAnsi="Times New Roman" w:cs="Times New Roman"/>
        </w:rPr>
        <w:t>Depreciation:</w:t>
      </w:r>
      <w:r>
        <w:rPr>
          <w:rFonts w:ascii="Times New Roman" w:hAnsi="Times New Roman" w:cs="Times New Roman"/>
          <w:b w:val="0"/>
        </w:rPr>
        <w:t xml:space="preserve"> A decrease in the value of an investment.</w:t>
      </w:r>
    </w:p>
    <w:p w:rsidR="00447464" w:rsidRDefault="00447464" w:rsidP="00D60147">
      <w:pPr>
        <w:jc w:val="both"/>
        <w:rPr>
          <w:rFonts w:ascii="Times New Roman" w:hAnsi="Times New Roman" w:cs="Times New Roman"/>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Designated Investment Alternative:</w:t>
      </w:r>
      <w:r w:rsidRPr="002C6EB2">
        <w:rPr>
          <w:rFonts w:ascii="Times New Roman" w:hAnsi="Times New Roman" w:cs="Times New Roman"/>
          <w:b w:val="0"/>
        </w:rPr>
        <w:t xml:space="preserve"> The investment options picked by your plan into which participants can direct the investment of their plan accounts.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Diversification:</w:t>
      </w:r>
      <w:r w:rsidRPr="002C6EB2">
        <w:rPr>
          <w:rFonts w:ascii="Times New Roman" w:hAnsi="Times New Roman" w:cs="Times New Roman"/>
          <w:b w:val="0"/>
        </w:rPr>
        <w:t xml:space="preserve"> The practice of investing in multiple asset classes and securities with different risk characteristics to reduce the risk of owning any single investment.</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Dividend:</w:t>
      </w:r>
      <w:r w:rsidRPr="002C6EB2">
        <w:rPr>
          <w:rFonts w:ascii="Times New Roman" w:hAnsi="Times New Roman" w:cs="Times New Roman"/>
          <w:b w:val="0"/>
        </w:rPr>
        <w:t xml:space="preserve"> Money an investment fund or company pays to its stockholders, typically from profits.</w:t>
      </w:r>
      <w:r>
        <w:rPr>
          <w:rFonts w:ascii="Times New Roman" w:hAnsi="Times New Roman" w:cs="Times New Roman"/>
          <w:b w:val="0"/>
        </w:rPr>
        <w:t xml:space="preserve"> </w:t>
      </w:r>
      <w:r w:rsidRPr="002C6EB2">
        <w:rPr>
          <w:rFonts w:ascii="Times New Roman" w:hAnsi="Times New Roman" w:cs="Times New Roman"/>
          <w:b w:val="0"/>
        </w:rPr>
        <w:t>The amount is usually expressed on a per-share basis.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Dow Jones Industrial Average (Dow or DJIA):</w:t>
      </w:r>
      <w:r w:rsidRPr="002C6EB2">
        <w:rPr>
          <w:rFonts w:ascii="Times New Roman" w:hAnsi="Times New Roman" w:cs="Times New Roman"/>
          <w:b w:val="0"/>
        </w:rPr>
        <w:t xml:space="preserve"> A widely followed price-weighted index of 30 of the largest, most widely held U.S. stocks.</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Emerging Market:</w:t>
      </w:r>
      <w:r w:rsidRPr="002C6EB2">
        <w:rPr>
          <w:rFonts w:ascii="Times New Roman" w:hAnsi="Times New Roman" w:cs="Times New Roman"/>
          <w:b w:val="0"/>
        </w:rPr>
        <w:t xml:space="preserve"> Generally, economies </w:t>
      </w:r>
      <w:r>
        <w:rPr>
          <w:rFonts w:ascii="Times New Roman" w:hAnsi="Times New Roman" w:cs="Times New Roman"/>
          <w:b w:val="0"/>
        </w:rPr>
        <w:t>that are in the process of growth and industrialization, such as in</w:t>
      </w:r>
      <w:r w:rsidRPr="002C6EB2">
        <w:rPr>
          <w:rFonts w:ascii="Times New Roman" w:hAnsi="Times New Roman" w:cs="Times New Roman"/>
          <w:b w:val="0"/>
        </w:rPr>
        <w:t xml:space="preserve"> Africa, Asia, Eastern Europe, the Far East, Latin America, and the Middle East which, while relatively undeveloped, may hold significant growth potential in the future.</w:t>
      </w:r>
      <w:r>
        <w:rPr>
          <w:rFonts w:ascii="Times New Roman" w:hAnsi="Times New Roman" w:cs="Times New Roman"/>
          <w:b w:val="0"/>
        </w:rPr>
        <w:t xml:space="preserve"> </w:t>
      </w:r>
      <w:r w:rsidRPr="002C6EB2">
        <w:rPr>
          <w:rFonts w:ascii="Times New Roman" w:hAnsi="Times New Roman" w:cs="Times New Roman"/>
          <w:b w:val="0"/>
        </w:rPr>
        <w:t xml:space="preserve">Investing in these economies </w:t>
      </w:r>
      <w:r>
        <w:rPr>
          <w:rFonts w:ascii="Times New Roman" w:hAnsi="Times New Roman" w:cs="Times New Roman"/>
          <w:b w:val="0"/>
        </w:rPr>
        <w:t>may provide significant rewards,</w:t>
      </w:r>
      <w:r w:rsidRPr="002C6EB2">
        <w:rPr>
          <w:rFonts w:ascii="Times New Roman" w:hAnsi="Times New Roman" w:cs="Times New Roman"/>
          <w:b w:val="0"/>
        </w:rPr>
        <w:t xml:space="preserve"> and significant risks.</w:t>
      </w:r>
      <w:r>
        <w:rPr>
          <w:rFonts w:ascii="Times New Roman" w:hAnsi="Times New Roman" w:cs="Times New Roman"/>
          <w:b w:val="0"/>
        </w:rPr>
        <w:t xml:space="preserve"> </w:t>
      </w:r>
      <w:r w:rsidRPr="002C6EB2">
        <w:rPr>
          <w:rFonts w:ascii="Times New Roman" w:hAnsi="Times New Roman" w:cs="Times New Roman"/>
          <w:b w:val="0"/>
        </w:rPr>
        <w:t>May also be called developing markets.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Emerging Market Fund:</w:t>
      </w:r>
      <w:r>
        <w:rPr>
          <w:rFonts w:ascii="Times New Roman" w:hAnsi="Times New Roman" w:cs="Times New Roman"/>
          <w:b w:val="0"/>
        </w:rPr>
        <w:t xml:space="preserve"> </w:t>
      </w:r>
      <w:r w:rsidRPr="002C6EB2">
        <w:rPr>
          <w:rFonts w:ascii="Times New Roman" w:hAnsi="Times New Roman" w:cs="Times New Roman"/>
          <w:b w:val="0"/>
        </w:rPr>
        <w:t>A fund that invests primarily in emerging market countries.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C2163E">
        <w:rPr>
          <w:rFonts w:ascii="Times New Roman" w:hAnsi="Times New Roman" w:cs="Times New Roman"/>
        </w:rPr>
        <w:t>Employer Securities</w:t>
      </w:r>
      <w:r w:rsidRPr="002C6EB2">
        <w:rPr>
          <w:rFonts w:ascii="Times New Roman" w:hAnsi="Times New Roman" w:cs="Times New Roman"/>
          <w:b w:val="0"/>
        </w:rPr>
        <w:t>: Securities issued by an employer of employees covered by a retirement plan that may be used as a plan investment option.</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Equity/Equities:</w:t>
      </w:r>
      <w:r w:rsidRPr="002C6EB2">
        <w:rPr>
          <w:rFonts w:ascii="Times New Roman" w:hAnsi="Times New Roman" w:cs="Times New Roman"/>
          <w:b w:val="0"/>
        </w:rPr>
        <w:t xml:space="preserve"> A security or investment representing ownership in a corporation, unlike a </w:t>
      </w:r>
      <w:r>
        <w:rPr>
          <w:rFonts w:ascii="Times New Roman" w:hAnsi="Times New Roman" w:cs="Times New Roman"/>
          <w:b w:val="0"/>
        </w:rPr>
        <w:t>bond</w:t>
      </w:r>
      <w:r w:rsidRPr="002C6EB2">
        <w:rPr>
          <w:rFonts w:ascii="Times New Roman" w:hAnsi="Times New Roman" w:cs="Times New Roman"/>
          <w:b w:val="0"/>
        </w:rPr>
        <w:t>, which represents a loan to a borrower.</w:t>
      </w:r>
      <w:r>
        <w:rPr>
          <w:rFonts w:ascii="Times New Roman" w:hAnsi="Times New Roman" w:cs="Times New Roman"/>
          <w:b w:val="0"/>
        </w:rPr>
        <w:t xml:space="preserve"> </w:t>
      </w:r>
      <w:r w:rsidRPr="002C6EB2">
        <w:rPr>
          <w:rFonts w:ascii="Times New Roman" w:hAnsi="Times New Roman" w:cs="Times New Roman"/>
          <w:b w:val="0"/>
        </w:rPr>
        <w:t>Often used interchangeably with “stock.”</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2C6EB2">
        <w:rPr>
          <w:rFonts w:ascii="Times New Roman" w:hAnsi="Times New Roman" w:cs="Times New Roman"/>
        </w:rPr>
        <w:t>Equity Fund:</w:t>
      </w:r>
      <w:r w:rsidRPr="002C6EB2">
        <w:rPr>
          <w:rFonts w:ascii="Times New Roman" w:hAnsi="Times New Roman" w:cs="Times New Roman"/>
          <w:b w:val="0"/>
        </w:rPr>
        <w:t xml:space="preserve"> A fund that invests primarily in equities.</w:t>
      </w:r>
    </w:p>
    <w:p w:rsidR="00447464" w:rsidRDefault="00447464" w:rsidP="00D60147">
      <w:pPr>
        <w:jc w:val="both"/>
        <w:rPr>
          <w:rFonts w:ascii="Times New Roman" w:hAnsi="Times New Roman" w:cs="Times New Roman"/>
          <w:b w:val="0"/>
        </w:rPr>
      </w:pPr>
    </w:p>
    <w:p w:rsidR="00447464" w:rsidRPr="00F949A9" w:rsidRDefault="00447464" w:rsidP="00F949A9">
      <w:pPr>
        <w:jc w:val="both"/>
        <w:rPr>
          <w:rFonts w:ascii="Times New Roman" w:hAnsi="Times New Roman" w:cs="Times New Roman"/>
          <w:b w:val="0"/>
        </w:rPr>
      </w:pPr>
      <w:r w:rsidRPr="002C6EB2">
        <w:rPr>
          <w:rFonts w:ascii="Times New Roman" w:hAnsi="Times New Roman" w:cs="Times New Roman"/>
        </w:rPr>
        <w:t>Equity Wash Restriction:</w:t>
      </w:r>
      <w:r w:rsidRPr="002C6EB2">
        <w:rPr>
          <w:rFonts w:ascii="Times New Roman" w:hAnsi="Times New Roman" w:cs="Times New Roman"/>
          <w:b w:val="0"/>
        </w:rPr>
        <w:t xml:space="preserve"> </w:t>
      </w:r>
      <w:r w:rsidRPr="00F949A9">
        <w:rPr>
          <w:rFonts w:ascii="Times New Roman" w:hAnsi="Times New Roman" w:cs="Times New Roman"/>
          <w:b w:val="0"/>
        </w:rPr>
        <w:t xml:space="preserve">A provision in certain stable value or fixed income products under which transfers made from the stable value or fixed income product </w:t>
      </w:r>
      <w:r>
        <w:rPr>
          <w:rFonts w:ascii="Times New Roman" w:hAnsi="Times New Roman" w:cs="Times New Roman"/>
          <w:b w:val="0"/>
        </w:rPr>
        <w:t>are</w:t>
      </w:r>
      <w:r w:rsidRPr="00F949A9">
        <w:rPr>
          <w:rFonts w:ascii="Times New Roman" w:hAnsi="Times New Roman" w:cs="Times New Roman"/>
          <w:b w:val="0"/>
        </w:rPr>
        <w:t xml:space="preserve"> required to be directed to an equity fund </w:t>
      </w:r>
      <w:r>
        <w:rPr>
          <w:rFonts w:ascii="Times New Roman" w:hAnsi="Times New Roman" w:cs="Times New Roman"/>
          <w:b w:val="0"/>
        </w:rPr>
        <w:t xml:space="preserve">or other non-competing investment </w:t>
      </w:r>
      <w:r w:rsidRPr="00F949A9">
        <w:rPr>
          <w:rFonts w:ascii="Times New Roman" w:hAnsi="Times New Roman" w:cs="Times New Roman"/>
          <w:b w:val="0"/>
        </w:rPr>
        <w:t>option of the plan for a stated period of time (usually 90 days) before those funds may be invested in any other plan-provided competing fixed income fund (such as a money market fund).</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Exchange Traded Fund (ETF):</w:t>
      </w:r>
      <w:r w:rsidRPr="002C6EB2">
        <w:rPr>
          <w:rFonts w:ascii="Times New Roman" w:hAnsi="Times New Roman" w:cs="Times New Roman"/>
          <w:b w:val="0"/>
        </w:rPr>
        <w:t xml:space="preserve"> An investment company, </w:t>
      </w:r>
      <w:r>
        <w:rPr>
          <w:rFonts w:ascii="Times New Roman" w:hAnsi="Times New Roman" w:cs="Times New Roman"/>
          <w:b w:val="0"/>
        </w:rPr>
        <w:t xml:space="preserve">such as </w:t>
      </w:r>
      <w:r w:rsidRPr="002C6EB2">
        <w:rPr>
          <w:rFonts w:ascii="Times New Roman" w:hAnsi="Times New Roman" w:cs="Times New Roman"/>
          <w:b w:val="0"/>
        </w:rPr>
        <w:t>a mutual fund, whose shares are traded throughout the day on stock exchanges at market-determined prices.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Expense Ratio:</w:t>
      </w:r>
      <w:r w:rsidRPr="002C6EB2">
        <w:rPr>
          <w:rFonts w:ascii="Times New Roman" w:hAnsi="Times New Roman" w:cs="Times New Roman"/>
          <w:b w:val="0"/>
        </w:rPr>
        <w:t xml:space="preserve"> A measure of what it costs to operate an investment, expressed as a percentage of its assets or in basis points.</w:t>
      </w:r>
      <w:r>
        <w:rPr>
          <w:rFonts w:ascii="Times New Roman" w:hAnsi="Times New Roman" w:cs="Times New Roman"/>
          <w:b w:val="0"/>
        </w:rPr>
        <w:t xml:space="preserve"> </w:t>
      </w:r>
      <w:r w:rsidRPr="002C6EB2">
        <w:rPr>
          <w:rFonts w:ascii="Times New Roman" w:hAnsi="Times New Roman" w:cs="Times New Roman"/>
          <w:b w:val="0"/>
        </w:rPr>
        <w:t>These are costs the investor pays through a reduction in the investment's rate of return.</w:t>
      </w:r>
      <w:r>
        <w:rPr>
          <w:rFonts w:ascii="Times New Roman" w:hAnsi="Times New Roman" w:cs="Times New Roman"/>
          <w:b w:val="0"/>
        </w:rPr>
        <w:t xml:space="preserve"> </w:t>
      </w:r>
      <w:r w:rsidRPr="002C6EB2">
        <w:rPr>
          <w:rFonts w:ascii="Times New Roman" w:hAnsi="Times New Roman" w:cs="Times New Roman"/>
          <w:b w:val="0"/>
        </w:rPr>
        <w:t xml:space="preserve">See </w:t>
      </w:r>
      <w:r>
        <w:rPr>
          <w:rFonts w:ascii="Times New Roman" w:hAnsi="Times New Roman" w:cs="Times New Roman"/>
          <w:b w:val="0"/>
        </w:rPr>
        <w:t xml:space="preserve">Operating Expenses and </w:t>
      </w:r>
      <w:r w:rsidRPr="002C6EB2">
        <w:rPr>
          <w:rFonts w:ascii="Times New Roman" w:hAnsi="Times New Roman" w:cs="Times New Roman"/>
          <w:b w:val="0"/>
        </w:rPr>
        <w:t>Total Annual Operating Expenses.</w:t>
      </w:r>
      <w:bookmarkStart w:id="14" w:name="fs"/>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Federal Deposit Insurance Corporation (FDIC):</w:t>
      </w:r>
      <w:r w:rsidRPr="002C6EB2">
        <w:rPr>
          <w:rFonts w:ascii="Times New Roman" w:hAnsi="Times New Roman" w:cs="Times New Roman"/>
          <w:b w:val="0"/>
        </w:rPr>
        <w:t xml:space="preserve"> A federal agency that insures </w:t>
      </w:r>
      <w:r>
        <w:rPr>
          <w:rFonts w:ascii="Times New Roman" w:hAnsi="Times New Roman" w:cs="Times New Roman"/>
          <w:b w:val="0"/>
        </w:rPr>
        <w:t>money</w:t>
      </w:r>
      <w:r w:rsidRPr="002C6EB2">
        <w:rPr>
          <w:rFonts w:ascii="Times New Roman" w:hAnsi="Times New Roman" w:cs="Times New Roman"/>
          <w:b w:val="0"/>
        </w:rPr>
        <w:t xml:space="preserve"> on deposit in member banks and thrift institutions.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Financial Industry Regulatory Authority (FINRA):</w:t>
      </w:r>
      <w:r w:rsidRPr="002C6EB2">
        <w:rPr>
          <w:rFonts w:ascii="Times New Roman" w:hAnsi="Times New Roman" w:cs="Times New Roman"/>
          <w:b w:val="0"/>
        </w:rPr>
        <w:t xml:space="preserve"> A self-regulatory organization for </w:t>
      </w:r>
      <w:r>
        <w:rPr>
          <w:rFonts w:ascii="Times New Roman" w:hAnsi="Times New Roman" w:cs="Times New Roman"/>
          <w:b w:val="0"/>
        </w:rPr>
        <w:t>brokerage</w:t>
      </w:r>
      <w:r w:rsidRPr="002C6EB2">
        <w:rPr>
          <w:rFonts w:ascii="Times New Roman" w:hAnsi="Times New Roman" w:cs="Times New Roman"/>
          <w:b w:val="0"/>
        </w:rPr>
        <w:t xml:space="preserve"> firms doing business in the United States</w:t>
      </w:r>
      <w:r>
        <w:rPr>
          <w:rFonts w:ascii="Times New Roman" w:hAnsi="Times New Roman" w:cs="Times New Roman"/>
          <w:b w:val="0"/>
        </w:rPr>
        <w:t>. FINRA</w:t>
      </w:r>
      <w:r w:rsidRPr="002C6EB2">
        <w:rPr>
          <w:rFonts w:ascii="Times New Roman" w:hAnsi="Times New Roman" w:cs="Times New Roman"/>
          <w:b w:val="0"/>
        </w:rPr>
        <w:t xml:space="preserve"> operates under the supervision of the SEC.</w:t>
      </w:r>
      <w:r>
        <w:rPr>
          <w:rFonts w:ascii="Times New Roman" w:hAnsi="Times New Roman" w:cs="Times New Roman"/>
          <w:b w:val="0"/>
        </w:rPr>
        <w:t xml:space="preserve"> </w:t>
      </w:r>
      <w:r w:rsidRPr="002C6EB2">
        <w:rPr>
          <w:rFonts w:ascii="Times New Roman" w:hAnsi="Times New Roman" w:cs="Times New Roman"/>
          <w:b w:val="0"/>
        </w:rPr>
        <w:t>The organization’s objectives are to protect investors and ensure market integrity.</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Financial Statements:</w:t>
      </w:r>
      <w:bookmarkEnd w:id="14"/>
      <w:r w:rsidRPr="002C6EB2">
        <w:rPr>
          <w:rFonts w:ascii="Times New Roman" w:hAnsi="Times New Roman" w:cs="Times New Roman"/>
          <w:b w:val="0"/>
        </w:rPr>
        <w:t xml:space="preserve"> The written record of the financial status of a </w:t>
      </w:r>
      <w:r w:rsidRPr="002B1421">
        <w:rPr>
          <w:rFonts w:ascii="Times New Roman" w:hAnsi="Times New Roman" w:cs="Times New Roman"/>
          <w:b w:val="0"/>
        </w:rPr>
        <w:t>fund</w:t>
      </w:r>
      <w:r w:rsidRPr="002C6EB2">
        <w:rPr>
          <w:rFonts w:ascii="Times New Roman" w:hAnsi="Times New Roman" w:cs="Times New Roman"/>
          <w:b w:val="0"/>
        </w:rPr>
        <w:t xml:space="preserve"> or company, usually published in the </w:t>
      </w:r>
      <w:r w:rsidRPr="002B1421">
        <w:rPr>
          <w:rFonts w:ascii="Times New Roman" w:hAnsi="Times New Roman" w:cs="Times New Roman"/>
          <w:b w:val="0"/>
        </w:rPr>
        <w:t>annual report</w:t>
      </w:r>
      <w:r w:rsidRPr="002C6EB2">
        <w:rPr>
          <w:rFonts w:ascii="Times New Roman" w:hAnsi="Times New Roman" w:cs="Times New Roman"/>
          <w:b w:val="0"/>
        </w:rPr>
        <w:t>.</w:t>
      </w:r>
      <w:r>
        <w:rPr>
          <w:rFonts w:ascii="Times New Roman" w:hAnsi="Times New Roman" w:cs="Times New Roman"/>
          <w:b w:val="0"/>
        </w:rPr>
        <w:t xml:space="preserve"> </w:t>
      </w:r>
      <w:r w:rsidRPr="002C6EB2">
        <w:rPr>
          <w:rFonts w:ascii="Times New Roman" w:hAnsi="Times New Roman" w:cs="Times New Roman"/>
          <w:b w:val="0"/>
        </w:rPr>
        <w:t>The financial statements generally include a balance sheet, income statement, and other financial statements</w:t>
      </w:r>
      <w:r>
        <w:rPr>
          <w:rFonts w:ascii="Times New Roman" w:hAnsi="Times New Roman" w:cs="Times New Roman"/>
          <w:b w:val="0"/>
        </w:rPr>
        <w:t xml:space="preserve"> and disclosures</w:t>
      </w:r>
      <w:r w:rsidRPr="002C6EB2">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Fixed Income Fund:</w:t>
      </w:r>
      <w:r w:rsidRPr="002C6EB2">
        <w:rPr>
          <w:rFonts w:ascii="Times New Roman" w:hAnsi="Times New Roman" w:cs="Times New Roman"/>
          <w:b w:val="0"/>
        </w:rPr>
        <w:t xml:space="preserve"> A fund that invests primarily in bonds and other fixed-income securities</w:t>
      </w:r>
      <w:r>
        <w:rPr>
          <w:rFonts w:ascii="Times New Roman" w:hAnsi="Times New Roman" w:cs="Times New Roman"/>
          <w:b w:val="0"/>
        </w:rPr>
        <w:t>, often</w:t>
      </w:r>
      <w:r w:rsidRPr="002C6EB2">
        <w:rPr>
          <w:rFonts w:ascii="Times New Roman" w:hAnsi="Times New Roman" w:cs="Times New Roman"/>
          <w:b w:val="0"/>
        </w:rPr>
        <w:t xml:space="preserve"> to provide shareholders with current income</w:t>
      </w:r>
      <w:r>
        <w:rPr>
          <w:rFonts w:ascii="Times New Roman" w:hAnsi="Times New Roman" w:cs="Times New Roman"/>
          <w:b w:val="0"/>
        </w:rPr>
        <w:t>.</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2C6EB2">
        <w:rPr>
          <w:rFonts w:ascii="Times New Roman" w:hAnsi="Times New Roman" w:cs="Times New Roman"/>
        </w:rPr>
        <w:t>Fixed Return Investment:</w:t>
      </w:r>
      <w:r w:rsidRPr="002C6EB2">
        <w:rPr>
          <w:rFonts w:ascii="Times New Roman" w:hAnsi="Times New Roman" w:cs="Times New Roman"/>
          <w:b w:val="0"/>
        </w:rPr>
        <w:t xml:space="preserve"> An investment that provides a specific rate of return to the investor.</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2C6EB2">
        <w:rPr>
          <w:rFonts w:ascii="Times New Roman" w:hAnsi="Times New Roman" w:cs="Times New Roman"/>
        </w:rPr>
        <w:t>Front-end Load:</w:t>
      </w:r>
      <w:r w:rsidRPr="002C6EB2">
        <w:rPr>
          <w:rFonts w:ascii="Times New Roman" w:hAnsi="Times New Roman" w:cs="Times New Roman"/>
          <w:b w:val="0"/>
        </w:rPr>
        <w:t xml:space="preserve"> A sales charge on mutual funds or annuities assessed at the time of purchase to cover selling costs.</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Fund Family:</w:t>
      </w:r>
      <w:r w:rsidRPr="002C6EB2">
        <w:rPr>
          <w:rFonts w:ascii="Times New Roman" w:hAnsi="Times New Roman" w:cs="Times New Roman"/>
          <w:b w:val="0"/>
        </w:rPr>
        <w:t xml:space="preserve"> A group or “complex” of mutual funds, each typically with its own investment objective, and managed and distributed by the same company.</w:t>
      </w:r>
      <w:r>
        <w:rPr>
          <w:rFonts w:ascii="Times New Roman" w:hAnsi="Times New Roman" w:cs="Times New Roman"/>
          <w:b w:val="0"/>
        </w:rPr>
        <w:t xml:space="preserve"> </w:t>
      </w:r>
      <w:r w:rsidRPr="005403AF">
        <w:rPr>
          <w:rFonts w:ascii="Times New Roman" w:hAnsi="Times New Roman" w:cs="Times New Roman"/>
          <w:b w:val="0"/>
          <w:bCs w:val="0"/>
        </w:rPr>
        <w:t xml:space="preserve">A Fund Family also could refer to a group of collective </w:t>
      </w:r>
      <w:r>
        <w:rPr>
          <w:rFonts w:ascii="Times New Roman" w:hAnsi="Times New Roman" w:cs="Times New Roman"/>
          <w:b w:val="0"/>
          <w:bCs w:val="0"/>
        </w:rPr>
        <w:t>investment funds</w:t>
      </w:r>
      <w:r w:rsidRPr="005403AF">
        <w:rPr>
          <w:rFonts w:ascii="Times New Roman" w:hAnsi="Times New Roman" w:cs="Times New Roman"/>
          <w:b w:val="0"/>
          <w:bCs w:val="0"/>
        </w:rPr>
        <w:t xml:space="preserve"> or a group of separate accounts managed and distributed by the same company.</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Fund of Funds:</w:t>
      </w:r>
      <w:r w:rsidRPr="002C6EB2">
        <w:rPr>
          <w:rFonts w:ascii="Times New Roman" w:hAnsi="Times New Roman" w:cs="Times New Roman"/>
          <w:b w:val="0"/>
        </w:rPr>
        <w:t xml:space="preserve"> A mutual fund</w:t>
      </w:r>
      <w:r>
        <w:rPr>
          <w:rFonts w:ascii="Times New Roman" w:hAnsi="Times New Roman" w:cs="Times New Roman"/>
          <w:b w:val="0"/>
        </w:rPr>
        <w:t>, collective investment fund</w:t>
      </w:r>
      <w:r w:rsidRPr="002C6EB2">
        <w:rPr>
          <w:rFonts w:ascii="Times New Roman" w:hAnsi="Times New Roman" w:cs="Times New Roman"/>
          <w:b w:val="0"/>
        </w:rPr>
        <w:t xml:space="preserve"> or other pooled investment that invests primarily in other mutual funds</w:t>
      </w:r>
      <w:r>
        <w:rPr>
          <w:rFonts w:ascii="Times New Roman" w:hAnsi="Times New Roman" w:cs="Times New Roman"/>
          <w:b w:val="0"/>
        </w:rPr>
        <w:t>, collective investment funds</w:t>
      </w:r>
      <w:r w:rsidRPr="002C6EB2">
        <w:rPr>
          <w:rFonts w:ascii="Times New Roman" w:hAnsi="Times New Roman" w:cs="Times New Roman"/>
          <w:b w:val="0"/>
        </w:rPr>
        <w:t xml:space="preserve"> or pooled investments rather than investing directly in individual securities (such as stocks, bonds or money market securities).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bookmarkStart w:id="15" w:name="FixedIncomeInvestment"/>
      <w:bookmarkEnd w:id="15"/>
      <w:r w:rsidRPr="00B85E18">
        <w:rPr>
          <w:rFonts w:ascii="Times New Roman" w:hAnsi="Times New Roman" w:cs="Times New Roman"/>
        </w:rPr>
        <w:t>Glide Path:</w:t>
      </w:r>
      <w:r w:rsidRPr="002C6EB2">
        <w:rPr>
          <w:rFonts w:ascii="Times New Roman" w:hAnsi="Times New Roman" w:cs="Times New Roman"/>
          <w:b w:val="0"/>
        </w:rPr>
        <w:t xml:space="preserve"> The change over time in a target date fund’s asset allocation mix to shift from a focus on growth to a focus on income.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Global Fund:</w:t>
      </w:r>
      <w:r w:rsidRPr="002C6EB2">
        <w:rPr>
          <w:rFonts w:ascii="Times New Roman" w:hAnsi="Times New Roman" w:cs="Times New Roman"/>
          <w:b w:val="0"/>
        </w:rPr>
        <w:t xml:space="preserve"> A fund that invests primarily in securities anywhere in the world, including the United States.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Government Securities:</w:t>
      </w:r>
      <w:r w:rsidRPr="002C6EB2">
        <w:rPr>
          <w:rFonts w:ascii="Times New Roman" w:hAnsi="Times New Roman" w:cs="Times New Roman"/>
          <w:b w:val="0"/>
        </w:rPr>
        <w:t xml:space="preserve"> Any debt obligation issued by a government or its agencies (e.g., Treasury Bills issued by the United States).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16" w:name="GrowthFund"/>
      <w:bookmarkEnd w:id="16"/>
      <w:r w:rsidRPr="00B85E18">
        <w:rPr>
          <w:rFonts w:ascii="Times New Roman" w:hAnsi="Times New Roman" w:cs="Times New Roman"/>
        </w:rPr>
        <w:t>Growth Fund:</w:t>
      </w:r>
      <w:r w:rsidRPr="002C6EB2">
        <w:rPr>
          <w:rFonts w:ascii="Times New Roman" w:hAnsi="Times New Roman" w:cs="Times New Roman"/>
          <w:b w:val="0"/>
        </w:rPr>
        <w:t xml:space="preserve"> A fund that invests primarily in the stocks of companies </w:t>
      </w:r>
      <w:r>
        <w:rPr>
          <w:rFonts w:ascii="Times New Roman" w:hAnsi="Times New Roman" w:cs="Times New Roman"/>
          <w:b w:val="0"/>
        </w:rPr>
        <w:t xml:space="preserve">with above-average risk in return for </w:t>
      </w:r>
      <w:r w:rsidRPr="002C6EB2">
        <w:rPr>
          <w:rFonts w:ascii="Times New Roman" w:hAnsi="Times New Roman" w:cs="Times New Roman"/>
          <w:b w:val="0"/>
        </w:rPr>
        <w:t>potential</w:t>
      </w:r>
      <w:r>
        <w:rPr>
          <w:rFonts w:ascii="Times New Roman" w:hAnsi="Times New Roman" w:cs="Times New Roman"/>
          <w:b w:val="0"/>
        </w:rPr>
        <w:t>ly</w:t>
      </w:r>
      <w:r w:rsidRPr="002C6EB2">
        <w:rPr>
          <w:rFonts w:ascii="Times New Roman" w:hAnsi="Times New Roman" w:cs="Times New Roman"/>
          <w:b w:val="0"/>
        </w:rPr>
        <w:t xml:space="preserve"> above-average gains.</w:t>
      </w:r>
      <w:r>
        <w:rPr>
          <w:rFonts w:ascii="Times New Roman" w:hAnsi="Times New Roman" w:cs="Times New Roman"/>
          <w:b w:val="0"/>
        </w:rPr>
        <w:t xml:space="preserve"> </w:t>
      </w:r>
      <w:r w:rsidRPr="002C6EB2">
        <w:rPr>
          <w:rFonts w:ascii="Times New Roman" w:hAnsi="Times New Roman" w:cs="Times New Roman"/>
          <w:b w:val="0"/>
        </w:rPr>
        <w:t>These companies often pay small or no dividends and their stock prices tend to have the most ups and downs from day to day.</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Growth and Income Fund:</w:t>
      </w:r>
      <w:r w:rsidRPr="002C6EB2">
        <w:rPr>
          <w:rFonts w:ascii="Times New Roman" w:hAnsi="Times New Roman" w:cs="Times New Roman"/>
          <w:b w:val="0"/>
        </w:rPr>
        <w:t xml:space="preserve"> A fund that has a dual strategy of growth or capital appreciation and current income generation through dividends or interest payments.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Inception Date:</w:t>
      </w:r>
      <w:r w:rsidRPr="002C6EB2">
        <w:rPr>
          <w:rFonts w:ascii="Times New Roman" w:hAnsi="Times New Roman" w:cs="Times New Roman"/>
          <w:b w:val="0"/>
        </w:rPr>
        <w:t xml:space="preserve"> The date that a fund began operations.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17" w:name="high-yield"/>
      <w:bookmarkStart w:id="18" w:name="Index"/>
      <w:bookmarkEnd w:id="17"/>
      <w:bookmarkEnd w:id="18"/>
      <w:r w:rsidRPr="00B85E18">
        <w:rPr>
          <w:rFonts w:ascii="Times New Roman" w:hAnsi="Times New Roman" w:cs="Times New Roman"/>
        </w:rPr>
        <w:t>Income Fund:</w:t>
      </w:r>
      <w:r w:rsidRPr="002C6EB2">
        <w:rPr>
          <w:rFonts w:ascii="Times New Roman" w:hAnsi="Times New Roman" w:cs="Times New Roman"/>
          <w:b w:val="0"/>
        </w:rPr>
        <w:t xml:space="preserve"> A fund that primarily seeks current income rather than capital appreciation.</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C2163E">
        <w:rPr>
          <w:rFonts w:ascii="Times New Roman" w:hAnsi="Times New Roman" w:cs="Times New Roman"/>
        </w:rPr>
        <w:t>Index:</w:t>
      </w:r>
      <w:r w:rsidRPr="002C6EB2">
        <w:rPr>
          <w:rFonts w:ascii="Times New Roman" w:hAnsi="Times New Roman" w:cs="Times New Roman"/>
          <w:b w:val="0"/>
        </w:rPr>
        <w:t xml:space="preserve"> A benchmark against which to evaluate a fund's performance. The most common indexes for stock funds are the Dow Jones Industrial Average and the Standard &amp; Poor's 500 Index.</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Index Fund:</w:t>
      </w:r>
      <w:r w:rsidRPr="002C6EB2">
        <w:rPr>
          <w:rFonts w:ascii="Times New Roman" w:hAnsi="Times New Roman" w:cs="Times New Roman"/>
          <w:b w:val="0"/>
        </w:rPr>
        <w:t xml:space="preserve"> </w:t>
      </w:r>
      <w:r w:rsidRPr="000F586A">
        <w:rPr>
          <w:rFonts w:ascii="Times New Roman" w:hAnsi="Times New Roman" w:cs="Times New Roman"/>
          <w:b w:val="0"/>
        </w:rPr>
        <w:t>An investment fund that seeks to parallel the performance of a particular stock market or bond market index.</w:t>
      </w:r>
      <w:r>
        <w:rPr>
          <w:rFonts w:ascii="Times New Roman" w:hAnsi="Times New Roman" w:cs="Times New Roman"/>
          <w:b w:val="0"/>
        </w:rPr>
        <w:t xml:space="preserve"> </w:t>
      </w:r>
      <w:r w:rsidRPr="000F586A">
        <w:rPr>
          <w:rFonts w:ascii="Times New Roman" w:hAnsi="Times New Roman" w:cs="Times New Roman"/>
          <w:b w:val="0"/>
        </w:rPr>
        <w:t>Index funds are often referred to as passively managed investments.</w:t>
      </w:r>
      <w:bookmarkStart w:id="19" w:name="interestrate"/>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Inflation:</w:t>
      </w:r>
      <w:r w:rsidRPr="002C6EB2">
        <w:rPr>
          <w:rFonts w:ascii="Times New Roman" w:hAnsi="Times New Roman" w:cs="Times New Roman"/>
          <w:b w:val="0"/>
        </w:rPr>
        <w:t xml:space="preserve"> The overall general upward price movement of goods and services in an economy. Inflation is one of the major risks to investors over the long term because it erodes the purchasing power of their savings.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Interest/Interest Rate:</w:t>
      </w:r>
      <w:bookmarkEnd w:id="19"/>
      <w:r w:rsidRPr="002C6EB2">
        <w:rPr>
          <w:rFonts w:ascii="Times New Roman" w:hAnsi="Times New Roman" w:cs="Times New Roman"/>
          <w:b w:val="0"/>
        </w:rPr>
        <w:t xml:space="preserve"> The fee charged by a lender to a borrower, usually expressed as an annual percentage of the principal.</w:t>
      </w:r>
      <w:r>
        <w:rPr>
          <w:rFonts w:ascii="Times New Roman" w:hAnsi="Times New Roman" w:cs="Times New Roman"/>
          <w:b w:val="0"/>
        </w:rPr>
        <w:t xml:space="preserve"> </w:t>
      </w:r>
      <w:r w:rsidRPr="002C6EB2">
        <w:rPr>
          <w:rFonts w:ascii="Times New Roman" w:hAnsi="Times New Roman" w:cs="Times New Roman"/>
          <w:b w:val="0"/>
        </w:rPr>
        <w:t>For example, someone investing in bonds will receive interest payments from the bond’s issuer.</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Interest Rate Risk:</w:t>
      </w:r>
      <w:r w:rsidRPr="002C6EB2">
        <w:rPr>
          <w:rFonts w:ascii="Times New Roman" w:hAnsi="Times New Roman" w:cs="Times New Roman"/>
          <w:b w:val="0"/>
        </w:rPr>
        <w:t xml:space="preserve"> The possibility that a bond’s or bond fund’s market value will decrease due to rising interest rates.</w:t>
      </w:r>
      <w:r>
        <w:rPr>
          <w:rFonts w:ascii="Times New Roman" w:hAnsi="Times New Roman" w:cs="Times New Roman"/>
          <w:b w:val="0"/>
        </w:rPr>
        <w:t xml:space="preserve"> </w:t>
      </w:r>
      <w:r w:rsidRPr="002C6EB2">
        <w:rPr>
          <w:rFonts w:ascii="Times New Roman" w:hAnsi="Times New Roman" w:cs="Times New Roman"/>
          <w:b w:val="0"/>
        </w:rPr>
        <w:t>When interest rates (and bond yields) go up, bond prices usually go down and vice versa.</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International Fund:</w:t>
      </w:r>
      <w:r w:rsidRPr="002C6EB2">
        <w:rPr>
          <w:rFonts w:ascii="Times New Roman" w:hAnsi="Times New Roman" w:cs="Times New Roman"/>
          <w:b w:val="0"/>
        </w:rPr>
        <w:t xml:space="preserve"> A fund that invests primarily in the securities of companies located</w:t>
      </w:r>
      <w:r>
        <w:rPr>
          <w:rFonts w:ascii="Times New Roman" w:hAnsi="Times New Roman" w:cs="Times New Roman"/>
          <w:b w:val="0"/>
        </w:rPr>
        <w:t>,</w:t>
      </w:r>
      <w:r w:rsidRPr="002C6EB2">
        <w:rPr>
          <w:rFonts w:ascii="Times New Roman" w:hAnsi="Times New Roman" w:cs="Times New Roman"/>
          <w:b w:val="0"/>
        </w:rPr>
        <w:t xml:space="preserve"> </w:t>
      </w:r>
      <w:r>
        <w:rPr>
          <w:rFonts w:ascii="Times New Roman" w:hAnsi="Times New Roman" w:cs="Times New Roman"/>
          <w:b w:val="0"/>
        </w:rPr>
        <w:t>or with revenues derived from,</w:t>
      </w:r>
      <w:r w:rsidRPr="002C6EB2">
        <w:rPr>
          <w:rFonts w:ascii="Times New Roman" w:hAnsi="Times New Roman" w:cs="Times New Roman"/>
          <w:b w:val="0"/>
        </w:rPr>
        <w:t xml:space="preserve"> outside </w:t>
      </w:r>
      <w:r>
        <w:rPr>
          <w:rFonts w:ascii="Times New Roman" w:hAnsi="Times New Roman" w:cs="Times New Roman"/>
          <w:b w:val="0"/>
        </w:rPr>
        <w:t xml:space="preserve">of </w:t>
      </w:r>
      <w:r w:rsidRPr="002C6EB2">
        <w:rPr>
          <w:rFonts w:ascii="Times New Roman" w:hAnsi="Times New Roman" w:cs="Times New Roman"/>
          <w:b w:val="0"/>
        </w:rPr>
        <w:t>the United States.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Investment Adviser:</w:t>
      </w:r>
      <w:r w:rsidRPr="002C6EB2">
        <w:rPr>
          <w:rFonts w:ascii="Times New Roman" w:hAnsi="Times New Roman" w:cs="Times New Roman"/>
          <w:b w:val="0"/>
        </w:rPr>
        <w:t xml:space="preserve"> A person or organization </w:t>
      </w:r>
      <w:r>
        <w:rPr>
          <w:rFonts w:ascii="Times New Roman" w:hAnsi="Times New Roman" w:cs="Times New Roman"/>
          <w:b w:val="0"/>
        </w:rPr>
        <w:t>hired</w:t>
      </w:r>
      <w:r w:rsidRPr="002C6EB2">
        <w:rPr>
          <w:rFonts w:ascii="Times New Roman" w:hAnsi="Times New Roman" w:cs="Times New Roman"/>
          <w:b w:val="0"/>
        </w:rPr>
        <w:t xml:space="preserve"> by an investment fund or an individual to give professional advice on investments and asset management practices.</w:t>
      </w:r>
    </w:p>
    <w:p w:rsidR="00447464" w:rsidRDefault="00447464" w:rsidP="00D60147">
      <w:pPr>
        <w:jc w:val="both"/>
        <w:rPr>
          <w:rFonts w:ascii="Times New Roman" w:hAnsi="Times New Roman" w:cs="Times New Roman"/>
          <w:b w:val="0"/>
        </w:rPr>
      </w:pPr>
      <w:bookmarkStart w:id="20" w:name="InternationalFund"/>
      <w:bookmarkStart w:id="21" w:name="invco"/>
      <w:bookmarkEnd w:id="20"/>
    </w:p>
    <w:p w:rsidR="00447464" w:rsidRDefault="00447464" w:rsidP="00D60147">
      <w:pPr>
        <w:jc w:val="both"/>
        <w:rPr>
          <w:rFonts w:ascii="Times New Roman" w:hAnsi="Times New Roman" w:cs="Times New Roman"/>
          <w:b w:val="0"/>
        </w:rPr>
      </w:pPr>
      <w:r w:rsidRPr="00B85E18">
        <w:rPr>
          <w:rFonts w:ascii="Times New Roman" w:hAnsi="Times New Roman" w:cs="Times New Roman"/>
        </w:rPr>
        <w:t>Investment Company:</w:t>
      </w:r>
      <w:bookmarkEnd w:id="21"/>
      <w:r w:rsidRPr="002C6EB2">
        <w:rPr>
          <w:rFonts w:ascii="Times New Roman" w:hAnsi="Times New Roman" w:cs="Times New Roman"/>
          <w:b w:val="0"/>
        </w:rPr>
        <w:t xml:space="preserve"> A corporation or trust that invests pooled shareholder dollars in securities appropriate to the organization’s objective.</w:t>
      </w:r>
      <w:r>
        <w:rPr>
          <w:rFonts w:ascii="Times New Roman" w:hAnsi="Times New Roman" w:cs="Times New Roman"/>
          <w:b w:val="0"/>
        </w:rPr>
        <w:t xml:space="preserve"> </w:t>
      </w:r>
      <w:r w:rsidRPr="002C6EB2">
        <w:rPr>
          <w:rFonts w:ascii="Times New Roman" w:hAnsi="Times New Roman" w:cs="Times New Roman"/>
          <w:b w:val="0"/>
        </w:rPr>
        <w:t>The most common type of investment company, commonly called a mutual fund, stands ready to buy back its shares at their current net asset value.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Investment Objective:</w:t>
      </w:r>
      <w:r w:rsidRPr="002C6EB2">
        <w:rPr>
          <w:rFonts w:ascii="Times New Roman" w:hAnsi="Times New Roman" w:cs="Times New Roman"/>
          <w:b w:val="0"/>
        </w:rPr>
        <w:t xml:space="preserve"> The goal that an investment fund or investor seeks to achieve (e.g., growth or income).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Investment Return:</w:t>
      </w:r>
      <w:r w:rsidRPr="002C6EB2">
        <w:rPr>
          <w:rFonts w:ascii="Times New Roman" w:hAnsi="Times New Roman" w:cs="Times New Roman"/>
          <w:b w:val="0"/>
        </w:rPr>
        <w:t xml:space="preserve"> The gain or loss on an investment over a certain period, expressed as a percentage.</w:t>
      </w:r>
      <w:r>
        <w:rPr>
          <w:rFonts w:ascii="Times New Roman" w:hAnsi="Times New Roman" w:cs="Times New Roman"/>
          <w:b w:val="0"/>
        </w:rPr>
        <w:t xml:space="preserve"> </w:t>
      </w:r>
      <w:r w:rsidRPr="002C6EB2">
        <w:rPr>
          <w:rFonts w:ascii="Times New Roman" w:hAnsi="Times New Roman" w:cs="Times New Roman"/>
          <w:b w:val="0"/>
        </w:rPr>
        <w:t xml:space="preserve">Income and capital gains </w:t>
      </w:r>
      <w:r>
        <w:rPr>
          <w:rFonts w:ascii="Times New Roman" w:hAnsi="Times New Roman" w:cs="Times New Roman"/>
          <w:b w:val="0"/>
        </w:rPr>
        <w:t xml:space="preserve">or losses </w:t>
      </w:r>
      <w:r w:rsidRPr="002C6EB2">
        <w:rPr>
          <w:rFonts w:ascii="Times New Roman" w:hAnsi="Times New Roman" w:cs="Times New Roman"/>
          <w:b w:val="0"/>
        </w:rPr>
        <w:t>are included in calculating the investment return.</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22" w:name="InvestmentRisk"/>
      <w:bookmarkEnd w:id="22"/>
      <w:r w:rsidRPr="00742027">
        <w:rPr>
          <w:rFonts w:ascii="Times New Roman" w:hAnsi="Times New Roman" w:cs="Times New Roman"/>
        </w:rPr>
        <w:t>Investment Risk</w:t>
      </w:r>
      <w:r w:rsidRPr="002C6EB2">
        <w:rPr>
          <w:rFonts w:ascii="Times New Roman" w:hAnsi="Times New Roman" w:cs="Times New Roman"/>
          <w:b w:val="0"/>
        </w:rPr>
        <w:t>: The possibility of losing some or all of the amounts invested or not gaining value in an investment.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Large Capitalization (Cap):</w:t>
      </w:r>
      <w:r w:rsidRPr="002C6EB2">
        <w:rPr>
          <w:rFonts w:ascii="Times New Roman" w:hAnsi="Times New Roman" w:cs="Times New Roman"/>
          <w:b w:val="0"/>
        </w:rPr>
        <w:t xml:space="preserve"> A reference to either a large company stock or an investment fund that invests in the stocks of large companies.</w:t>
      </w:r>
    </w:p>
    <w:p w:rsidR="00447464"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Large Cap Fund:</w:t>
      </w:r>
      <w:r w:rsidRPr="002C6EB2">
        <w:rPr>
          <w:rFonts w:ascii="Times New Roman" w:hAnsi="Times New Roman" w:cs="Times New Roman"/>
          <w:b w:val="0"/>
        </w:rPr>
        <w:t xml:space="preserve"> A fund that invests primarily in large cap stocks.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Large Cap Stocks:</w:t>
      </w:r>
      <w:r w:rsidRPr="002C6EB2">
        <w:rPr>
          <w:rFonts w:ascii="Times New Roman" w:hAnsi="Times New Roman" w:cs="Times New Roman"/>
          <w:b w:val="0"/>
        </w:rPr>
        <w:t xml:space="preserve"> Stocks of companies with a large market capitalization. Large caps tend to be well-established companies, so their stocks typically entail less risk than smaller caps, but large-caps also offer less potential for dramatic growth.</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Lifecycle Fund:</w:t>
      </w:r>
      <w:r w:rsidRPr="002C6EB2">
        <w:rPr>
          <w:rFonts w:ascii="Times New Roman" w:hAnsi="Times New Roman" w:cs="Times New Roman"/>
          <w:b w:val="0"/>
        </w:rPr>
        <w:t xml:space="preserve"> A fund designed to provide varying degrees of long-term appreciation and capital preservation based on an investor’s age or target retirement date through a mix of asset classes.</w:t>
      </w:r>
      <w:r>
        <w:rPr>
          <w:rFonts w:ascii="Times New Roman" w:hAnsi="Times New Roman" w:cs="Times New Roman"/>
          <w:b w:val="0"/>
        </w:rPr>
        <w:t xml:space="preserve"> </w:t>
      </w:r>
      <w:r w:rsidRPr="002C6EB2">
        <w:rPr>
          <w:rFonts w:ascii="Times New Roman" w:hAnsi="Times New Roman" w:cs="Times New Roman"/>
          <w:b w:val="0"/>
        </w:rPr>
        <w:t>The mix changes over time to become less focused on growth and more focused on income.</w:t>
      </w:r>
      <w:r>
        <w:rPr>
          <w:rFonts w:ascii="Times New Roman" w:hAnsi="Times New Roman" w:cs="Times New Roman"/>
          <w:b w:val="0"/>
        </w:rPr>
        <w:t xml:space="preserve"> </w:t>
      </w:r>
      <w:r w:rsidRPr="002C6EB2">
        <w:rPr>
          <w:rFonts w:ascii="Times New Roman" w:hAnsi="Times New Roman" w:cs="Times New Roman"/>
          <w:b w:val="0"/>
        </w:rPr>
        <w:t xml:space="preserve">Also known as </w:t>
      </w:r>
      <w:r>
        <w:rPr>
          <w:rFonts w:ascii="Times New Roman" w:hAnsi="Times New Roman" w:cs="Times New Roman"/>
          <w:b w:val="0"/>
        </w:rPr>
        <w:t>“</w:t>
      </w:r>
      <w:r w:rsidRPr="002C6EB2">
        <w:rPr>
          <w:rFonts w:ascii="Times New Roman" w:hAnsi="Times New Roman" w:cs="Times New Roman"/>
          <w:b w:val="0"/>
        </w:rPr>
        <w:t>target date retirement</w:t>
      </w:r>
      <w:r>
        <w:rPr>
          <w:rFonts w:ascii="Times New Roman" w:hAnsi="Times New Roman" w:cs="Times New Roman"/>
          <w:b w:val="0"/>
        </w:rPr>
        <w:t>”</w:t>
      </w:r>
      <w:r w:rsidRPr="002C6EB2">
        <w:rPr>
          <w:rFonts w:ascii="Times New Roman" w:hAnsi="Times New Roman" w:cs="Times New Roman"/>
          <w:b w:val="0"/>
        </w:rPr>
        <w:t xml:space="preserve"> or </w:t>
      </w:r>
      <w:r>
        <w:rPr>
          <w:rFonts w:ascii="Times New Roman" w:hAnsi="Times New Roman" w:cs="Times New Roman"/>
          <w:b w:val="0"/>
        </w:rPr>
        <w:t>“</w:t>
      </w:r>
      <w:r w:rsidRPr="002C6EB2">
        <w:rPr>
          <w:rFonts w:ascii="Times New Roman" w:hAnsi="Times New Roman" w:cs="Times New Roman"/>
          <w:b w:val="0"/>
        </w:rPr>
        <w:t>age-based</w:t>
      </w:r>
      <w:r>
        <w:rPr>
          <w:rFonts w:ascii="Times New Roman" w:hAnsi="Times New Roman" w:cs="Times New Roman"/>
          <w:b w:val="0"/>
        </w:rPr>
        <w:t>”</w:t>
      </w:r>
      <w:r w:rsidRPr="002C6EB2">
        <w:rPr>
          <w:rFonts w:ascii="Times New Roman" w:hAnsi="Times New Roman" w:cs="Times New Roman"/>
          <w:b w:val="0"/>
        </w:rPr>
        <w:t xml:space="preserve"> funds.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Lifestyle Fund:</w:t>
      </w:r>
      <w:r w:rsidRPr="002C6EB2">
        <w:rPr>
          <w:rFonts w:ascii="Times New Roman" w:hAnsi="Times New Roman" w:cs="Times New Roman"/>
          <w:b w:val="0"/>
        </w:rPr>
        <w:t xml:space="preserve"> A fund that maintains a predetermined risk level and generally uses words such as “conservative,” “moderate,” or “aggressive” in its name to indicate the fund’s risk level.</w:t>
      </w:r>
      <w:r>
        <w:rPr>
          <w:rFonts w:ascii="Times New Roman" w:hAnsi="Times New Roman" w:cs="Times New Roman"/>
          <w:b w:val="0"/>
        </w:rPr>
        <w:t xml:space="preserve"> </w:t>
      </w:r>
      <w:r w:rsidRPr="002C6EB2">
        <w:rPr>
          <w:rFonts w:ascii="Times New Roman" w:hAnsi="Times New Roman" w:cs="Times New Roman"/>
          <w:b w:val="0"/>
        </w:rPr>
        <w:t>Used interchangeably with “target risk fund.”</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Lipper:</w:t>
      </w:r>
      <w:r w:rsidRPr="002C6EB2">
        <w:rPr>
          <w:rFonts w:ascii="Times New Roman" w:hAnsi="Times New Roman" w:cs="Times New Roman"/>
          <w:b w:val="0"/>
        </w:rPr>
        <w:t xml:space="preserve"> A leading mutual fund research and tracking firm.</w:t>
      </w:r>
      <w:r>
        <w:rPr>
          <w:rFonts w:ascii="Times New Roman" w:hAnsi="Times New Roman" w:cs="Times New Roman"/>
          <w:b w:val="0"/>
        </w:rPr>
        <w:t xml:space="preserve"> </w:t>
      </w:r>
      <w:r w:rsidRPr="002C6EB2">
        <w:rPr>
          <w:rFonts w:ascii="Times New Roman" w:hAnsi="Times New Roman" w:cs="Times New Roman"/>
          <w:b w:val="0"/>
        </w:rPr>
        <w:t>Lipper categorizes funds by objective and size, and then ranks fund performance within those categories.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Liquidity:</w:t>
      </w:r>
      <w:r w:rsidRPr="002C6EB2">
        <w:rPr>
          <w:rFonts w:ascii="Times New Roman" w:hAnsi="Times New Roman" w:cs="Times New Roman"/>
          <w:b w:val="0"/>
        </w:rPr>
        <w:t xml:space="preserve"> The ease with which an investment can be converted into cash.</w:t>
      </w:r>
      <w:r>
        <w:rPr>
          <w:rFonts w:ascii="Times New Roman" w:hAnsi="Times New Roman" w:cs="Times New Roman"/>
          <w:b w:val="0"/>
        </w:rPr>
        <w:t xml:space="preserve"> </w:t>
      </w:r>
      <w:r w:rsidRPr="002C6EB2">
        <w:rPr>
          <w:rFonts w:ascii="Times New Roman" w:hAnsi="Times New Roman" w:cs="Times New Roman"/>
          <w:b w:val="0"/>
        </w:rPr>
        <w:t>If a security is very liquid, it can be bought or sold easily.</w:t>
      </w:r>
      <w:r>
        <w:rPr>
          <w:rFonts w:ascii="Times New Roman" w:hAnsi="Times New Roman" w:cs="Times New Roman"/>
          <w:b w:val="0"/>
        </w:rPr>
        <w:t xml:space="preserve"> </w:t>
      </w:r>
      <w:r w:rsidRPr="002C6EB2">
        <w:rPr>
          <w:rFonts w:ascii="Times New Roman" w:hAnsi="Times New Roman" w:cs="Times New Roman"/>
          <w:b w:val="0"/>
        </w:rPr>
        <w:t>If a security is not liquid, it may take additional time and/or a lower price to sell it.</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Load:</w:t>
      </w:r>
      <w:r w:rsidRPr="002C6EB2">
        <w:rPr>
          <w:rFonts w:ascii="Times New Roman" w:hAnsi="Times New Roman" w:cs="Times New Roman"/>
          <w:b w:val="0"/>
        </w:rPr>
        <w:t xml:space="preserve"> A sales charge assessed </w:t>
      </w:r>
      <w:r>
        <w:rPr>
          <w:rFonts w:ascii="Times New Roman" w:hAnsi="Times New Roman" w:cs="Times New Roman"/>
          <w:b w:val="0"/>
        </w:rPr>
        <w:t>on</w:t>
      </w:r>
      <w:r w:rsidRPr="002C6EB2">
        <w:rPr>
          <w:rFonts w:ascii="Times New Roman" w:hAnsi="Times New Roman" w:cs="Times New Roman"/>
          <w:b w:val="0"/>
        </w:rPr>
        <w:t xml:space="preserve"> certain investments to cover selling costs.</w:t>
      </w:r>
      <w:r>
        <w:rPr>
          <w:rFonts w:ascii="Times New Roman" w:hAnsi="Times New Roman" w:cs="Times New Roman"/>
          <w:b w:val="0"/>
        </w:rPr>
        <w:t xml:space="preserve"> </w:t>
      </w:r>
      <w:r w:rsidRPr="002C6EB2">
        <w:rPr>
          <w:rFonts w:ascii="Times New Roman" w:hAnsi="Times New Roman" w:cs="Times New Roman"/>
          <w:b w:val="0"/>
        </w:rPr>
        <w:t>A front-end load is charged at the time of purchase. A back-end load is charged at the time of sale</w:t>
      </w:r>
      <w:r>
        <w:rPr>
          <w:rFonts w:ascii="Times New Roman" w:hAnsi="Times New Roman" w:cs="Times New Roman"/>
          <w:b w:val="0"/>
        </w:rPr>
        <w:t xml:space="preserve"> or redemption</w:t>
      </w:r>
      <w:r w:rsidRPr="002C6EB2">
        <w:rPr>
          <w:rFonts w:ascii="Times New Roman" w:hAnsi="Times New Roman" w:cs="Times New Roman"/>
          <w:b w:val="0"/>
        </w:rPr>
        <w:t>.</w:t>
      </w:r>
    </w:p>
    <w:p w:rsidR="00447464" w:rsidRDefault="00447464" w:rsidP="00D60147">
      <w:pPr>
        <w:jc w:val="both"/>
        <w:rPr>
          <w:rFonts w:ascii="Times New Roman" w:hAnsi="Times New Roman" w:cs="Times New Roman"/>
        </w:rPr>
      </w:pPr>
      <w:bookmarkStart w:id="23" w:name="manfees"/>
    </w:p>
    <w:p w:rsidR="00447464" w:rsidRDefault="00447464" w:rsidP="00D60147">
      <w:pPr>
        <w:jc w:val="both"/>
        <w:rPr>
          <w:rFonts w:ascii="Times New Roman" w:hAnsi="Times New Roman" w:cs="Times New Roman"/>
          <w:b w:val="0"/>
        </w:rPr>
      </w:pPr>
      <w:r w:rsidRPr="00B85E18">
        <w:rPr>
          <w:rFonts w:ascii="Times New Roman" w:hAnsi="Times New Roman" w:cs="Times New Roman"/>
        </w:rPr>
        <w:t>MSCI EAFE Index:</w:t>
      </w:r>
      <w:r w:rsidRPr="002C6EB2">
        <w:rPr>
          <w:rFonts w:ascii="Times New Roman" w:hAnsi="Times New Roman" w:cs="Times New Roman"/>
          <w:b w:val="0"/>
        </w:rPr>
        <w:t xml:space="preserve"> An index known by an acronym for the Europe, Australasia, and Far East markets produced by Morgan Stanley Capital International (MSCI).</w:t>
      </w:r>
      <w:r>
        <w:rPr>
          <w:rFonts w:ascii="Times New Roman" w:hAnsi="Times New Roman" w:cs="Times New Roman"/>
          <w:b w:val="0"/>
        </w:rPr>
        <w:t xml:space="preserve"> </w:t>
      </w:r>
      <w:r w:rsidRPr="002C6EB2">
        <w:rPr>
          <w:rFonts w:ascii="Times New Roman" w:hAnsi="Times New Roman" w:cs="Times New Roman"/>
          <w:b w:val="0"/>
        </w:rPr>
        <w:t>Markets are represented in the index according to their approximate share of world market capitalization.</w:t>
      </w:r>
      <w:r>
        <w:rPr>
          <w:rFonts w:ascii="Times New Roman" w:hAnsi="Times New Roman" w:cs="Times New Roman"/>
          <w:b w:val="0"/>
        </w:rPr>
        <w:t xml:space="preserve"> </w:t>
      </w:r>
      <w:r w:rsidRPr="002C6EB2">
        <w:rPr>
          <w:rFonts w:ascii="Times New Roman" w:hAnsi="Times New Roman" w:cs="Times New Roman"/>
          <w:b w:val="0"/>
        </w:rPr>
        <w:t>The index is a widely used benchmark for managers of international stock fund portfolios.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MSCI World Index:</w:t>
      </w:r>
      <w:r w:rsidRPr="002C6EB2">
        <w:rPr>
          <w:rFonts w:ascii="Times New Roman" w:hAnsi="Times New Roman" w:cs="Times New Roman"/>
          <w:b w:val="0"/>
        </w:rPr>
        <w:t xml:space="preserve"> An index of major world stock markets, including the United States.</w:t>
      </w:r>
      <w:r>
        <w:rPr>
          <w:rFonts w:ascii="Times New Roman" w:hAnsi="Times New Roman" w:cs="Times New Roman"/>
          <w:b w:val="0"/>
        </w:rPr>
        <w:t xml:space="preserve">  </w:t>
      </w:r>
      <w:r w:rsidRPr="002C6EB2">
        <w:rPr>
          <w:rFonts w:ascii="Times New Roman" w:hAnsi="Times New Roman" w:cs="Times New Roman"/>
          <w:b w:val="0"/>
        </w:rPr>
        <w:t>The index is a widely used benchmark for managers of global stock fund portfolios.</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B85E18">
        <w:rPr>
          <w:rFonts w:ascii="Times New Roman" w:hAnsi="Times New Roman" w:cs="Times New Roman"/>
        </w:rPr>
        <w:t>Management Fee:</w:t>
      </w:r>
      <w:bookmarkEnd w:id="23"/>
      <w:r w:rsidRPr="002C6EB2">
        <w:rPr>
          <w:rFonts w:ascii="Times New Roman" w:hAnsi="Times New Roman" w:cs="Times New Roman"/>
          <w:b w:val="0"/>
        </w:rPr>
        <w:t xml:space="preserve"> A fee or charge paid to an investment manager for its services.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Market Capitalization or Market Cap:</w:t>
      </w:r>
      <w:r w:rsidRPr="002C6EB2">
        <w:rPr>
          <w:rFonts w:ascii="Times New Roman" w:hAnsi="Times New Roman" w:cs="Times New Roman"/>
          <w:b w:val="0"/>
        </w:rPr>
        <w:t xml:space="preserve"> </w:t>
      </w:r>
      <w:r w:rsidRPr="00405405">
        <w:rPr>
          <w:rFonts w:ascii="Times New Roman" w:hAnsi="Times New Roman" w:cs="Times New Roman"/>
          <w:b w:val="0"/>
        </w:rPr>
        <w:t>The market value of a company.  Market capitalization can be determined by multiplying the number of outstanding shares of a company’s stock by the stock’s current market price per share</w:t>
      </w:r>
      <w:r>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Market Risk:</w:t>
      </w:r>
      <w:r w:rsidRPr="002C6EB2">
        <w:rPr>
          <w:rFonts w:ascii="Times New Roman" w:hAnsi="Times New Roman" w:cs="Times New Roman"/>
          <w:b w:val="0"/>
        </w:rPr>
        <w:t xml:space="preserve"> The possibility that the value of an investment will fall because of a general decline in the financial markets.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Maturity Date:</w:t>
      </w:r>
      <w:r w:rsidRPr="002C6EB2">
        <w:rPr>
          <w:rFonts w:ascii="Times New Roman" w:hAnsi="Times New Roman" w:cs="Times New Roman"/>
          <w:b w:val="0"/>
        </w:rPr>
        <w:t xml:space="preserve"> The date on which the principal amount of a loan, bond, or any other debt becomes due and is to be paid in full.</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24" w:name="MatchingContribution"/>
      <w:bookmarkEnd w:id="24"/>
      <w:r w:rsidRPr="00B85E18">
        <w:rPr>
          <w:rFonts w:ascii="Times New Roman" w:hAnsi="Times New Roman" w:cs="Times New Roman"/>
        </w:rPr>
        <w:t>Mid Capitalization (Cap):</w:t>
      </w:r>
      <w:r w:rsidRPr="002C6EB2">
        <w:rPr>
          <w:rFonts w:ascii="Times New Roman" w:hAnsi="Times New Roman" w:cs="Times New Roman"/>
          <w:b w:val="0"/>
        </w:rPr>
        <w:t xml:space="preserve"> A reference to either a medium sized company stock or an investment fund that invests in the stocks of medium-sized companies.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Mid Cap Fund:</w:t>
      </w:r>
      <w:r w:rsidRPr="002C6EB2">
        <w:rPr>
          <w:rFonts w:ascii="Times New Roman" w:hAnsi="Times New Roman" w:cs="Times New Roman"/>
          <w:b w:val="0"/>
        </w:rPr>
        <w:t xml:space="preserve"> A fund that invests primarily in mid-cap stocks.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Mid Cap Stocks:</w:t>
      </w:r>
      <w:r w:rsidRPr="002C6EB2">
        <w:rPr>
          <w:rFonts w:ascii="Times New Roman" w:hAnsi="Times New Roman" w:cs="Times New Roman"/>
          <w:b w:val="0"/>
        </w:rPr>
        <w:t xml:space="preserve"> Stocks of companies with a medium market capitalization.</w:t>
      </w:r>
      <w:r>
        <w:rPr>
          <w:rFonts w:ascii="Times New Roman" w:hAnsi="Times New Roman" w:cs="Times New Roman"/>
          <w:b w:val="0"/>
        </w:rPr>
        <w:t xml:space="preserve"> </w:t>
      </w:r>
      <w:r w:rsidRPr="002C6EB2">
        <w:rPr>
          <w:rFonts w:ascii="Times New Roman" w:hAnsi="Times New Roman" w:cs="Times New Roman"/>
          <w:b w:val="0"/>
        </w:rPr>
        <w:t>Mid caps are often considered to offer more growth potential than larger caps (but less than small caps) and less risk than small caps (but more than large caps).</w:t>
      </w:r>
    </w:p>
    <w:p w:rsidR="00447464" w:rsidRPr="002C6EB2" w:rsidRDefault="00447464" w:rsidP="00D60147">
      <w:pPr>
        <w:jc w:val="both"/>
        <w:rPr>
          <w:rFonts w:ascii="Times New Roman" w:hAnsi="Times New Roman" w:cs="Times New Roman"/>
          <w:b w:val="0"/>
        </w:rPr>
      </w:pPr>
      <w:bookmarkStart w:id="25" w:name="mortgage-backed"/>
      <w:bookmarkEnd w:id="25"/>
    </w:p>
    <w:p w:rsidR="00447464" w:rsidRDefault="00447464" w:rsidP="00D60147">
      <w:pPr>
        <w:jc w:val="both"/>
        <w:rPr>
          <w:rFonts w:ascii="Times New Roman" w:hAnsi="Times New Roman" w:cs="Times New Roman"/>
          <w:b w:val="0"/>
        </w:rPr>
      </w:pPr>
      <w:r w:rsidRPr="00B85E18">
        <w:rPr>
          <w:rFonts w:ascii="Times New Roman" w:hAnsi="Times New Roman" w:cs="Times New Roman"/>
        </w:rPr>
        <w:t>Money Market Fund:</w:t>
      </w:r>
      <w:r w:rsidRPr="002C6EB2">
        <w:rPr>
          <w:rFonts w:ascii="Times New Roman" w:hAnsi="Times New Roman" w:cs="Times New Roman"/>
          <w:b w:val="0"/>
        </w:rPr>
        <w:t xml:space="preserve"> A mutual fund that invests in short-term, high-grade fixed-income securities, and seeks the highest level of income consistent with preservation of capital (i.e., maintaining a stable share price).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Morningstar:</w:t>
      </w:r>
      <w:r w:rsidRPr="002C6EB2">
        <w:rPr>
          <w:rFonts w:ascii="Times New Roman" w:hAnsi="Times New Roman" w:cs="Times New Roman"/>
          <w:b w:val="0"/>
        </w:rPr>
        <w:t xml:space="preserve"> A leading mutual fund research and tracking firm. Morningstar categorizes funds by objective and size, and then ranks fund performance within those categories.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Mutual Fund:</w:t>
      </w:r>
      <w:r w:rsidRPr="002C6EB2">
        <w:rPr>
          <w:rFonts w:ascii="Times New Roman" w:hAnsi="Times New Roman" w:cs="Times New Roman"/>
          <w:b w:val="0"/>
        </w:rPr>
        <w:t xml:space="preserve"> An investment company registered with the SEC that buys a portfolio of securities selected by a professional investment adviser to meet a specified financial goal (investment objective).</w:t>
      </w:r>
      <w:r>
        <w:rPr>
          <w:rFonts w:ascii="Times New Roman" w:hAnsi="Times New Roman" w:cs="Times New Roman"/>
          <w:b w:val="0"/>
        </w:rPr>
        <w:t xml:space="preserve"> </w:t>
      </w:r>
      <w:r w:rsidRPr="002C6EB2">
        <w:rPr>
          <w:rFonts w:ascii="Times New Roman" w:hAnsi="Times New Roman" w:cs="Times New Roman"/>
          <w:b w:val="0"/>
        </w:rPr>
        <w:t xml:space="preserve">Mutual funds can have actively managed portfolios, where a professional investment adviser creates a unique mix of investments to meet a particular investment objective, or passively managed portfolios, in which the adviser seeks to </w:t>
      </w:r>
      <w:r>
        <w:rPr>
          <w:rFonts w:ascii="Times New Roman" w:hAnsi="Times New Roman" w:cs="Times New Roman"/>
          <w:b w:val="0"/>
        </w:rPr>
        <w:t>parallel</w:t>
      </w:r>
      <w:r w:rsidRPr="002C6EB2">
        <w:rPr>
          <w:rFonts w:ascii="Times New Roman" w:hAnsi="Times New Roman" w:cs="Times New Roman"/>
          <w:b w:val="0"/>
        </w:rPr>
        <w:t xml:space="preserve"> the performance of a selected benchmark or index.</w:t>
      </w:r>
    </w:p>
    <w:p w:rsidR="00447464" w:rsidRDefault="00447464" w:rsidP="00D60147">
      <w:pPr>
        <w:jc w:val="both"/>
        <w:rPr>
          <w:rFonts w:ascii="Times New Roman" w:hAnsi="Times New Roman" w:cs="Times New Roman"/>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NASDAQ:</w:t>
      </w:r>
      <w:r w:rsidRPr="002C6EB2">
        <w:rPr>
          <w:rFonts w:ascii="Times New Roman" w:hAnsi="Times New Roman" w:cs="Times New Roman"/>
          <w:b w:val="0"/>
        </w:rPr>
        <w:t xml:space="preserve"> The National Association of Securities Dealers Automated Quotation, also called the “electronic stock market.”</w:t>
      </w:r>
      <w:r>
        <w:rPr>
          <w:rFonts w:ascii="Times New Roman" w:hAnsi="Times New Roman" w:cs="Times New Roman"/>
          <w:b w:val="0"/>
        </w:rPr>
        <w:t xml:space="preserve"> </w:t>
      </w:r>
      <w:r w:rsidRPr="002C6EB2">
        <w:rPr>
          <w:rFonts w:ascii="Times New Roman" w:hAnsi="Times New Roman" w:cs="Times New Roman"/>
          <w:b w:val="0"/>
        </w:rPr>
        <w:t>The NASDAQ composite index measures the performance of more than 5,000 U.S. and non-U.S. companies traded “over the counter” through NASDAQ.</w:t>
      </w:r>
    </w:p>
    <w:p w:rsidR="00447464" w:rsidRDefault="00447464" w:rsidP="00D60147">
      <w:pPr>
        <w:jc w:val="both"/>
        <w:rPr>
          <w:rFonts w:ascii="Times New Roman" w:hAnsi="Times New Roman" w:cs="Times New Roman"/>
        </w:rPr>
      </w:pPr>
      <w:bookmarkStart w:id="26" w:name="noload"/>
    </w:p>
    <w:p w:rsidR="00447464" w:rsidRPr="002C6EB2" w:rsidRDefault="00447464" w:rsidP="00D60147">
      <w:pPr>
        <w:jc w:val="both"/>
        <w:rPr>
          <w:rFonts w:ascii="Times New Roman" w:hAnsi="Times New Roman" w:cs="Times New Roman"/>
          <w:b w:val="0"/>
        </w:rPr>
      </w:pPr>
      <w:r w:rsidRPr="0011005E">
        <w:rPr>
          <w:rFonts w:ascii="Times New Roman" w:hAnsi="Times New Roman" w:cs="Times New Roman"/>
        </w:rPr>
        <w:t>Net Asset Value (NAV):</w:t>
      </w:r>
      <w:r w:rsidRPr="002C6EB2">
        <w:rPr>
          <w:rFonts w:ascii="Times New Roman" w:hAnsi="Times New Roman" w:cs="Times New Roman"/>
          <w:b w:val="0"/>
        </w:rPr>
        <w:t xml:space="preserve"> The net dollar value of a single </w:t>
      </w:r>
      <w:r>
        <w:rPr>
          <w:rFonts w:ascii="Times New Roman" w:hAnsi="Times New Roman" w:cs="Times New Roman"/>
          <w:b w:val="0"/>
        </w:rPr>
        <w:t xml:space="preserve">investment </w:t>
      </w:r>
      <w:r w:rsidRPr="002C6EB2">
        <w:rPr>
          <w:rFonts w:ascii="Times New Roman" w:hAnsi="Times New Roman" w:cs="Times New Roman"/>
          <w:b w:val="0"/>
        </w:rPr>
        <w:t xml:space="preserve">fund share </w:t>
      </w:r>
      <w:r>
        <w:rPr>
          <w:rFonts w:ascii="Times New Roman" w:hAnsi="Times New Roman" w:cs="Times New Roman"/>
          <w:b w:val="0"/>
        </w:rPr>
        <w:t xml:space="preserve">or unit </w:t>
      </w:r>
      <w:r w:rsidRPr="002C6EB2">
        <w:rPr>
          <w:rFonts w:ascii="Times New Roman" w:hAnsi="Times New Roman" w:cs="Times New Roman"/>
          <w:b w:val="0"/>
        </w:rPr>
        <w:t>that is calculated by the fund on a daily basis.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New York Stock Exchange (NYSE):</w:t>
      </w:r>
      <w:r w:rsidRPr="002C6EB2">
        <w:rPr>
          <w:rFonts w:ascii="Times New Roman" w:hAnsi="Times New Roman" w:cs="Times New Roman"/>
          <w:b w:val="0"/>
        </w:rPr>
        <w:t xml:space="preserve"> The oldest and largest stock exchange in the United States, founded in 1792.</w:t>
      </w:r>
      <w:bookmarkEnd w:id="26"/>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4448C1">
        <w:rPr>
          <w:rFonts w:ascii="Times New Roman" w:hAnsi="Times New Roman" w:cs="Times New Roman"/>
        </w:rPr>
        <w:t>No-Load Fund:</w:t>
      </w:r>
      <w:r w:rsidRPr="002C6EB2">
        <w:rPr>
          <w:rFonts w:ascii="Times New Roman" w:hAnsi="Times New Roman" w:cs="Times New Roman"/>
          <w:b w:val="0"/>
        </w:rPr>
        <w:t xml:space="preserve"> </w:t>
      </w:r>
      <w:r w:rsidRPr="004448C1">
        <w:rPr>
          <w:rFonts w:ascii="Times New Roman" w:hAnsi="Times New Roman" w:cs="Times New Roman"/>
          <w:b w:val="0"/>
        </w:rPr>
        <w:t>A mutual fund whose shares are sold without a sales commission and which does not charge a combined 12b-1 fee and service fee of more than 25 basis points or 0.25% per year.</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Operating Expenses:</w:t>
      </w:r>
      <w:r w:rsidRPr="002C6EB2">
        <w:rPr>
          <w:rFonts w:ascii="Times New Roman" w:hAnsi="Times New Roman" w:cs="Times New Roman"/>
          <w:b w:val="0"/>
        </w:rPr>
        <w:t xml:space="preserve"> The expenses associated with running or operating an investment fund.</w:t>
      </w:r>
      <w:r>
        <w:rPr>
          <w:rFonts w:ascii="Times New Roman" w:hAnsi="Times New Roman" w:cs="Times New Roman"/>
          <w:b w:val="0"/>
        </w:rPr>
        <w:t xml:space="preserve"> </w:t>
      </w:r>
      <w:r w:rsidRPr="002C6EB2">
        <w:rPr>
          <w:rFonts w:ascii="Times New Roman" w:hAnsi="Times New Roman" w:cs="Times New Roman"/>
          <w:b w:val="0"/>
        </w:rPr>
        <w:t xml:space="preserve"> Operating expenses may include custody fees, management fees, and transfer agent fees.</w:t>
      </w:r>
      <w:bookmarkStart w:id="27" w:name="NormalRetirementAge"/>
      <w:bookmarkStart w:id="28" w:name="Participant"/>
      <w:bookmarkEnd w:id="27"/>
      <w:bookmarkEnd w:id="28"/>
      <w:r>
        <w:rPr>
          <w:rFonts w:ascii="Times New Roman" w:hAnsi="Times New Roman" w:cs="Times New Roman"/>
          <w:b w:val="0"/>
        </w:rPr>
        <w:t xml:space="preserve"> See Expense Ratio and Total Annual Operating Expenses.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Passive Management:</w:t>
      </w:r>
      <w:r w:rsidRPr="002C6EB2">
        <w:rPr>
          <w:rFonts w:ascii="Times New Roman" w:hAnsi="Times New Roman" w:cs="Times New Roman"/>
          <w:b w:val="0"/>
        </w:rPr>
        <w:t xml:space="preserve"> The process or approach to operating or managing a fund in a passive or non-active manner, typically with the goal of mirroring an index.</w:t>
      </w:r>
      <w:r>
        <w:rPr>
          <w:rFonts w:ascii="Times New Roman" w:hAnsi="Times New Roman" w:cs="Times New Roman"/>
          <w:b w:val="0"/>
        </w:rPr>
        <w:t xml:space="preserve"> </w:t>
      </w:r>
      <w:r w:rsidRPr="002C6EB2">
        <w:rPr>
          <w:rFonts w:ascii="Times New Roman" w:hAnsi="Times New Roman" w:cs="Times New Roman"/>
          <w:b w:val="0"/>
        </w:rPr>
        <w:t>These funds are often referred to as index funds and differ from investment funds that are actively managed.</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bookmarkStart w:id="29" w:name="portfolio"/>
      <w:r w:rsidRPr="00B85E18">
        <w:rPr>
          <w:rFonts w:ascii="Times New Roman" w:hAnsi="Times New Roman" w:cs="Times New Roman"/>
        </w:rPr>
        <w:t>Portfolio:</w:t>
      </w:r>
      <w:bookmarkEnd w:id="29"/>
      <w:r w:rsidRPr="002C6EB2">
        <w:rPr>
          <w:rFonts w:ascii="Times New Roman" w:hAnsi="Times New Roman" w:cs="Times New Roman"/>
          <w:b w:val="0"/>
        </w:rPr>
        <w:t xml:space="preserve"> A collection of investments such as stocks and bonds that are owned by an individual, organization, or investment fund.</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bookmarkStart w:id="30" w:name="ptrate"/>
      <w:r w:rsidRPr="00B85E18">
        <w:rPr>
          <w:rFonts w:ascii="Times New Roman" w:hAnsi="Times New Roman" w:cs="Times New Roman"/>
        </w:rPr>
        <w:t>Portfolio Manager:</w:t>
      </w:r>
      <w:r w:rsidRPr="002C6EB2">
        <w:rPr>
          <w:rFonts w:ascii="Times New Roman" w:hAnsi="Times New Roman" w:cs="Times New Roman"/>
          <w:b w:val="0"/>
        </w:rPr>
        <w:t xml:space="preserve"> The individual</w:t>
      </w:r>
      <w:r>
        <w:rPr>
          <w:rFonts w:ascii="Times New Roman" w:hAnsi="Times New Roman" w:cs="Times New Roman"/>
          <w:b w:val="0"/>
        </w:rPr>
        <w:t>, team</w:t>
      </w:r>
      <w:r w:rsidRPr="002C6EB2">
        <w:rPr>
          <w:rFonts w:ascii="Times New Roman" w:hAnsi="Times New Roman" w:cs="Times New Roman"/>
          <w:b w:val="0"/>
        </w:rPr>
        <w:t xml:space="preserve"> or firm who makes the investment decisions for an investment fund, including </w:t>
      </w:r>
      <w:r>
        <w:rPr>
          <w:rFonts w:ascii="Times New Roman" w:hAnsi="Times New Roman" w:cs="Times New Roman"/>
          <w:b w:val="0"/>
        </w:rPr>
        <w:t xml:space="preserve">the selection of </w:t>
      </w:r>
      <w:r w:rsidRPr="002C6EB2">
        <w:rPr>
          <w:rFonts w:ascii="Times New Roman" w:hAnsi="Times New Roman" w:cs="Times New Roman"/>
          <w:b w:val="0"/>
        </w:rPr>
        <w:t>the individual investments.</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B85E18">
        <w:rPr>
          <w:rFonts w:ascii="Times New Roman" w:hAnsi="Times New Roman" w:cs="Times New Roman"/>
        </w:rPr>
        <w:t>Portfolio Turnover Rate:</w:t>
      </w:r>
      <w:bookmarkEnd w:id="30"/>
      <w:r w:rsidRPr="002C6EB2">
        <w:rPr>
          <w:rFonts w:ascii="Times New Roman" w:hAnsi="Times New Roman" w:cs="Times New Roman"/>
          <w:b w:val="0"/>
        </w:rPr>
        <w:t xml:space="preserve"> A measure of how frequently investments are bought and sold within an investment fund during a year.</w:t>
      </w:r>
      <w:r>
        <w:rPr>
          <w:rFonts w:ascii="Times New Roman" w:hAnsi="Times New Roman" w:cs="Times New Roman"/>
          <w:b w:val="0"/>
        </w:rPr>
        <w:t xml:space="preserve"> </w:t>
      </w:r>
      <w:r w:rsidRPr="002C6EB2">
        <w:rPr>
          <w:rFonts w:ascii="Times New Roman" w:hAnsi="Times New Roman" w:cs="Times New Roman"/>
          <w:b w:val="0"/>
        </w:rPr>
        <w:t>The portfolio turnover rate is usually expressed as a percentage of the total value of an investment fund.</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Principal:</w:t>
      </w:r>
      <w:r w:rsidRPr="002C6EB2">
        <w:rPr>
          <w:rFonts w:ascii="Times New Roman" w:hAnsi="Times New Roman" w:cs="Times New Roman"/>
          <w:b w:val="0"/>
        </w:rPr>
        <w:t xml:space="preserve"> The original dollar amount of an investment.</w:t>
      </w:r>
      <w:r>
        <w:rPr>
          <w:rFonts w:ascii="Times New Roman" w:hAnsi="Times New Roman" w:cs="Times New Roman"/>
          <w:b w:val="0"/>
        </w:rPr>
        <w:t xml:space="preserve"> </w:t>
      </w:r>
      <w:r w:rsidRPr="002C6EB2">
        <w:rPr>
          <w:rFonts w:ascii="Times New Roman" w:hAnsi="Times New Roman" w:cs="Times New Roman"/>
          <w:b w:val="0"/>
        </w:rPr>
        <w:t>Principal may also be used to refer to the face value or original amount of a bond.</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Prospectus:</w:t>
      </w:r>
      <w:r w:rsidRPr="002C6EB2">
        <w:rPr>
          <w:rFonts w:ascii="Times New Roman" w:hAnsi="Times New Roman" w:cs="Times New Roman"/>
          <w:b w:val="0"/>
        </w:rPr>
        <w:t xml:space="preserve"> The official document that describes </w:t>
      </w:r>
      <w:r>
        <w:rPr>
          <w:rFonts w:ascii="Times New Roman" w:hAnsi="Times New Roman" w:cs="Times New Roman"/>
          <w:b w:val="0"/>
        </w:rPr>
        <w:t>certain</w:t>
      </w:r>
      <w:r w:rsidRPr="002C6EB2">
        <w:rPr>
          <w:rFonts w:ascii="Times New Roman" w:hAnsi="Times New Roman" w:cs="Times New Roman"/>
          <w:b w:val="0"/>
        </w:rPr>
        <w:t xml:space="preserve"> investment</w:t>
      </w:r>
      <w:r>
        <w:rPr>
          <w:rFonts w:ascii="Times New Roman" w:hAnsi="Times New Roman" w:cs="Times New Roman"/>
          <w:b w:val="0"/>
        </w:rPr>
        <w:t>s, such as mutual funds,</w:t>
      </w:r>
      <w:r w:rsidRPr="002C6EB2">
        <w:rPr>
          <w:rFonts w:ascii="Times New Roman" w:hAnsi="Times New Roman" w:cs="Times New Roman"/>
          <w:b w:val="0"/>
        </w:rPr>
        <w:t xml:space="preserve"> to prospective investors.</w:t>
      </w:r>
      <w:r>
        <w:rPr>
          <w:rFonts w:ascii="Times New Roman" w:hAnsi="Times New Roman" w:cs="Times New Roman"/>
          <w:b w:val="0"/>
        </w:rPr>
        <w:t xml:space="preserve"> </w:t>
      </w:r>
      <w:r w:rsidRPr="002C6EB2">
        <w:rPr>
          <w:rFonts w:ascii="Times New Roman" w:hAnsi="Times New Roman" w:cs="Times New Roman"/>
          <w:b w:val="0"/>
        </w:rPr>
        <w:t>The prospectus contains information required by the SEC, such as investment objectives and policies, risks, services, and fees.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Rate of Return:</w:t>
      </w:r>
      <w:r w:rsidRPr="002C6EB2">
        <w:rPr>
          <w:rFonts w:ascii="Times New Roman" w:hAnsi="Times New Roman" w:cs="Times New Roman"/>
          <w:b w:val="0"/>
        </w:rPr>
        <w:t xml:space="preserve"> The gain or loss on an investment over a period of time.</w:t>
      </w:r>
      <w:r>
        <w:rPr>
          <w:rFonts w:ascii="Times New Roman" w:hAnsi="Times New Roman" w:cs="Times New Roman"/>
          <w:b w:val="0"/>
        </w:rPr>
        <w:t xml:space="preserve"> </w:t>
      </w:r>
      <w:r w:rsidRPr="002C6EB2">
        <w:rPr>
          <w:rFonts w:ascii="Times New Roman" w:hAnsi="Times New Roman" w:cs="Times New Roman"/>
          <w:b w:val="0"/>
        </w:rPr>
        <w:t>The rate of return is typically reported on an annual basis and expressed as a percentage.</w:t>
      </w:r>
    </w:p>
    <w:p w:rsidR="00447464" w:rsidRPr="002C6EB2" w:rsidRDefault="00447464" w:rsidP="00D60147">
      <w:pPr>
        <w:jc w:val="both"/>
        <w:rPr>
          <w:rFonts w:ascii="Times New Roman" w:hAnsi="Times New Roman" w:cs="Times New Roman"/>
          <w:b w:val="0"/>
        </w:rPr>
      </w:pPr>
      <w:bookmarkStart w:id="31" w:name="realrate"/>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Real Rate of Return:</w:t>
      </w:r>
      <w:bookmarkEnd w:id="31"/>
      <w:r w:rsidRPr="002C6EB2">
        <w:rPr>
          <w:rFonts w:ascii="Times New Roman" w:hAnsi="Times New Roman" w:cs="Times New Roman"/>
          <w:b w:val="0"/>
        </w:rPr>
        <w:t xml:space="preserve"> The rate of </w:t>
      </w:r>
      <w:r w:rsidRPr="002B1421">
        <w:rPr>
          <w:rFonts w:ascii="Times New Roman" w:hAnsi="Times New Roman" w:cs="Times New Roman"/>
          <w:b w:val="0"/>
        </w:rPr>
        <w:t>return</w:t>
      </w:r>
      <w:r w:rsidRPr="002C6EB2">
        <w:rPr>
          <w:rFonts w:ascii="Times New Roman" w:hAnsi="Times New Roman" w:cs="Times New Roman"/>
          <w:b w:val="0"/>
        </w:rPr>
        <w:t xml:space="preserve"> on an investment adjusted for </w:t>
      </w:r>
      <w:r w:rsidRPr="002B1421">
        <w:rPr>
          <w:rFonts w:ascii="Times New Roman" w:hAnsi="Times New Roman" w:cs="Times New Roman"/>
          <w:b w:val="0"/>
        </w:rPr>
        <w:t>inflation</w:t>
      </w:r>
      <w:r w:rsidRPr="002C6EB2">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Rebalance:</w:t>
      </w:r>
      <w:r w:rsidRPr="002C6EB2">
        <w:rPr>
          <w:rFonts w:ascii="Times New Roman" w:hAnsi="Times New Roman" w:cs="Times New Roman"/>
          <w:b w:val="0"/>
        </w:rPr>
        <w:t xml:space="preserve"> The process of moving money from one type of investment to another to maintain a desired asset allocation.</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Redemption:</w:t>
      </w:r>
      <w:r w:rsidRPr="002C6EB2">
        <w:rPr>
          <w:rFonts w:ascii="Times New Roman" w:hAnsi="Times New Roman" w:cs="Times New Roman"/>
          <w:b w:val="0"/>
        </w:rPr>
        <w:t xml:space="preserve"> To sell fund shares back to the fund.</w:t>
      </w:r>
      <w:r>
        <w:rPr>
          <w:rFonts w:ascii="Times New Roman" w:hAnsi="Times New Roman" w:cs="Times New Roman"/>
          <w:b w:val="0"/>
        </w:rPr>
        <w:t xml:space="preserve"> </w:t>
      </w:r>
      <w:r w:rsidRPr="002C6EB2">
        <w:rPr>
          <w:rFonts w:ascii="Times New Roman" w:hAnsi="Times New Roman" w:cs="Times New Roman"/>
          <w:b w:val="0"/>
        </w:rPr>
        <w:t xml:space="preserve">Redemption can also be used to mean the repayment of a </w:t>
      </w:r>
      <w:r w:rsidRPr="002B1421">
        <w:rPr>
          <w:rFonts w:ascii="Times New Roman" w:hAnsi="Times New Roman" w:cs="Times New Roman"/>
          <w:b w:val="0"/>
        </w:rPr>
        <w:t>bond</w:t>
      </w:r>
      <w:r w:rsidRPr="002C6EB2">
        <w:rPr>
          <w:rFonts w:ascii="Times New Roman" w:hAnsi="Times New Roman" w:cs="Times New Roman"/>
          <w:b w:val="0"/>
        </w:rPr>
        <w:t xml:space="preserve"> on or before the agreed upon pay-off date.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Redemption Fee:</w:t>
      </w:r>
      <w:r w:rsidRPr="002C6EB2">
        <w:rPr>
          <w:rFonts w:ascii="Times New Roman" w:hAnsi="Times New Roman" w:cs="Times New Roman"/>
          <w:b w:val="0"/>
        </w:rPr>
        <w:t xml:space="preserve"> A fee, generally charged by a mutual fund, to discourage certain trading practices by investors, such as short-term or excessive trading.</w:t>
      </w:r>
      <w:r>
        <w:rPr>
          <w:rFonts w:ascii="Times New Roman" w:hAnsi="Times New Roman" w:cs="Times New Roman"/>
          <w:b w:val="0"/>
        </w:rPr>
        <w:t xml:space="preserve"> </w:t>
      </w:r>
      <w:r w:rsidRPr="002C6EB2">
        <w:rPr>
          <w:rFonts w:ascii="Times New Roman" w:hAnsi="Times New Roman" w:cs="Times New Roman"/>
          <w:b w:val="0"/>
        </w:rPr>
        <w:t>If a redemption fee is charged it is done when the investment is redeemed or sold.</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Return:</w:t>
      </w:r>
      <w:r w:rsidRPr="002C6EB2">
        <w:rPr>
          <w:rFonts w:ascii="Times New Roman" w:hAnsi="Times New Roman" w:cs="Times New Roman"/>
          <w:b w:val="0"/>
        </w:rPr>
        <w:t xml:space="preserve"> The gain or loss on an investment.</w:t>
      </w:r>
      <w:r>
        <w:rPr>
          <w:rFonts w:ascii="Times New Roman" w:hAnsi="Times New Roman" w:cs="Times New Roman"/>
          <w:b w:val="0"/>
        </w:rPr>
        <w:t xml:space="preserve"> </w:t>
      </w:r>
      <w:r w:rsidRPr="002C6EB2">
        <w:rPr>
          <w:rFonts w:ascii="Times New Roman" w:hAnsi="Times New Roman" w:cs="Times New Roman"/>
          <w:b w:val="0"/>
        </w:rPr>
        <w:t>A positive return indicates a gain, and a negative return indicates a loss.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Risk:</w:t>
      </w:r>
      <w:r w:rsidRPr="002C6EB2">
        <w:rPr>
          <w:rFonts w:ascii="Times New Roman" w:hAnsi="Times New Roman" w:cs="Times New Roman"/>
          <w:b w:val="0"/>
        </w:rPr>
        <w:t xml:space="preserve"> The potential for investors to lose some or all the amounts invested or to fail to achieve their investment objectives.</w:t>
      </w:r>
    </w:p>
    <w:p w:rsidR="00447464" w:rsidRDefault="00447464" w:rsidP="00D60147">
      <w:pPr>
        <w:jc w:val="both"/>
        <w:rPr>
          <w:rFonts w:ascii="Times New Roman" w:hAnsi="Times New Roman" w:cs="Times New Roman"/>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Risk Tolerance:</w:t>
      </w:r>
      <w:r w:rsidRPr="002C6EB2">
        <w:rPr>
          <w:rFonts w:ascii="Times New Roman" w:hAnsi="Times New Roman" w:cs="Times New Roman"/>
          <w:b w:val="0"/>
        </w:rPr>
        <w:t xml:space="preserve"> An investor's ability and willingness to lose some or all of an investment in exchange for greater potential returns.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Round Trip Restriction:</w:t>
      </w:r>
      <w:r w:rsidRPr="002C6EB2">
        <w:rPr>
          <w:rFonts w:ascii="Times New Roman" w:hAnsi="Times New Roman" w:cs="Times New Roman"/>
          <w:b w:val="0"/>
        </w:rPr>
        <w:t xml:space="preserve"> A policy that limits the number of times an investor can exchange into and out of a fund within a given time frame.</w:t>
      </w:r>
      <w:r>
        <w:rPr>
          <w:rFonts w:ascii="Times New Roman" w:hAnsi="Times New Roman" w:cs="Times New Roman"/>
          <w:b w:val="0"/>
        </w:rPr>
        <w:t xml:space="preserve"> </w:t>
      </w:r>
      <w:r w:rsidRPr="002C6EB2">
        <w:rPr>
          <w:rFonts w:ascii="Times New Roman" w:hAnsi="Times New Roman" w:cs="Times New Roman"/>
          <w:b w:val="0"/>
        </w:rPr>
        <w:t>This is intended to discourage frequent trading that increases the costs to all the fund’s investors.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Russell Indexes:</w:t>
      </w:r>
      <w:r w:rsidRPr="002C6EB2">
        <w:rPr>
          <w:rFonts w:ascii="Times New Roman" w:hAnsi="Times New Roman" w:cs="Times New Roman"/>
          <w:b w:val="0"/>
        </w:rPr>
        <w:t xml:space="preserve"> A group of indexes that are widely used to benchmark investment performance.</w:t>
      </w:r>
      <w:r>
        <w:rPr>
          <w:rFonts w:ascii="Times New Roman" w:hAnsi="Times New Roman" w:cs="Times New Roman"/>
          <w:b w:val="0"/>
        </w:rPr>
        <w:t xml:space="preserve"> </w:t>
      </w:r>
      <w:r w:rsidRPr="002C6EB2">
        <w:rPr>
          <w:rFonts w:ascii="Times New Roman" w:hAnsi="Times New Roman" w:cs="Times New Roman"/>
          <w:b w:val="0"/>
        </w:rPr>
        <w:t xml:space="preserve">The most common Russell index is the Russell 2000 Index, an index of </w:t>
      </w:r>
      <w:r>
        <w:rPr>
          <w:rFonts w:ascii="Times New Roman" w:hAnsi="Times New Roman" w:cs="Times New Roman"/>
          <w:b w:val="0"/>
        </w:rPr>
        <w:t xml:space="preserve">U.S. </w:t>
      </w:r>
      <w:r w:rsidRPr="002C6EB2">
        <w:rPr>
          <w:rFonts w:ascii="Times New Roman" w:hAnsi="Times New Roman" w:cs="Times New Roman"/>
          <w:b w:val="0"/>
        </w:rPr>
        <w:t xml:space="preserve">small-cap stocks, which measures the performance of the 2,000 smallest </w:t>
      </w:r>
      <w:r>
        <w:rPr>
          <w:rFonts w:ascii="Times New Roman" w:hAnsi="Times New Roman" w:cs="Times New Roman"/>
          <w:b w:val="0"/>
        </w:rPr>
        <w:t xml:space="preserve">U.S. </w:t>
      </w:r>
      <w:r w:rsidRPr="002C6EB2">
        <w:rPr>
          <w:rFonts w:ascii="Times New Roman" w:hAnsi="Times New Roman" w:cs="Times New Roman"/>
          <w:b w:val="0"/>
        </w:rPr>
        <w:t>companies in the Russell 3000 Index.</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Sales Charge:</w:t>
      </w:r>
      <w:r w:rsidRPr="002C6EB2">
        <w:rPr>
          <w:rFonts w:ascii="Times New Roman" w:hAnsi="Times New Roman" w:cs="Times New Roman"/>
          <w:b w:val="0"/>
        </w:rPr>
        <w:t xml:space="preserve"> A charge for buying an investment.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Sector Fund:</w:t>
      </w:r>
      <w:r w:rsidRPr="002C6EB2">
        <w:rPr>
          <w:rFonts w:ascii="Times New Roman" w:hAnsi="Times New Roman" w:cs="Times New Roman"/>
          <w:b w:val="0"/>
        </w:rPr>
        <w:t xml:space="preserve"> A fund that invests in a particular or specialized segment of the marketplace, such as stocks of companies in the software, healthcare, or real estate industries.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Securities and Exchange Commission (SEC):</w:t>
      </w:r>
      <w:r w:rsidRPr="002C6EB2">
        <w:rPr>
          <w:rFonts w:ascii="Times New Roman" w:hAnsi="Times New Roman" w:cs="Times New Roman"/>
          <w:b w:val="0"/>
        </w:rPr>
        <w:t xml:space="preserve"> Government agency created by Congress in 1934 to regulate the securities industry and to help protect investors.</w:t>
      </w:r>
      <w:r>
        <w:rPr>
          <w:rFonts w:ascii="Times New Roman" w:hAnsi="Times New Roman" w:cs="Times New Roman"/>
          <w:b w:val="0"/>
        </w:rPr>
        <w:t xml:space="preserve"> </w:t>
      </w:r>
      <w:r w:rsidRPr="002C6EB2">
        <w:rPr>
          <w:rFonts w:ascii="Times New Roman" w:hAnsi="Times New Roman" w:cs="Times New Roman"/>
          <w:b w:val="0"/>
        </w:rPr>
        <w:t>The SEC is responsible for ensuring that the securities markets operate fairly and honestly.</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Security:</w:t>
      </w:r>
      <w:r w:rsidRPr="002C6EB2">
        <w:rPr>
          <w:rFonts w:ascii="Times New Roman" w:hAnsi="Times New Roman" w:cs="Times New Roman"/>
          <w:b w:val="0"/>
        </w:rPr>
        <w:t xml:space="preserve"> A general term for stocks, bonds, mutual funds, and other investments.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Separate Account:</w:t>
      </w:r>
      <w:r w:rsidRPr="002C6EB2">
        <w:rPr>
          <w:rFonts w:ascii="Times New Roman" w:hAnsi="Times New Roman" w:cs="Times New Roman"/>
          <w:b w:val="0"/>
        </w:rPr>
        <w:t xml:space="preserve"> An insurance company account that is segregated or separate from the insurance company’s general assets.</w:t>
      </w:r>
      <w:r>
        <w:rPr>
          <w:rFonts w:ascii="Times New Roman" w:hAnsi="Times New Roman" w:cs="Times New Roman"/>
          <w:b w:val="0"/>
        </w:rPr>
        <w:t xml:space="preserve"> </w:t>
      </w:r>
      <w:r w:rsidRPr="002C6EB2">
        <w:rPr>
          <w:rFonts w:ascii="Times New Roman" w:hAnsi="Times New Roman" w:cs="Times New Roman"/>
          <w:b w:val="0"/>
        </w:rPr>
        <w:t>Also refers to a fund managed by an investment adviser for a single plan.</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Share:</w:t>
      </w:r>
      <w:r w:rsidRPr="002C6EB2">
        <w:rPr>
          <w:rFonts w:ascii="Times New Roman" w:hAnsi="Times New Roman" w:cs="Times New Roman"/>
          <w:b w:val="0"/>
        </w:rPr>
        <w:t xml:space="preserve"> A representation of ownership in a company or investment fund.</w:t>
      </w:r>
    </w:p>
    <w:p w:rsidR="00447464" w:rsidRDefault="00447464" w:rsidP="00D60147">
      <w:pPr>
        <w:jc w:val="both"/>
        <w:rPr>
          <w:rFonts w:ascii="Times New Roman" w:hAnsi="Times New Roman" w:cs="Times New Roman"/>
          <w:b w:val="0"/>
        </w:rPr>
      </w:pPr>
      <w:r w:rsidRPr="002C6EB2">
        <w:rPr>
          <w:rFonts w:ascii="Times New Roman" w:hAnsi="Times New Roman" w:cs="Times New Roman"/>
          <w:b w:val="0"/>
        </w:rPr>
        <w:br/>
      </w:r>
      <w:r w:rsidRPr="00B85E18">
        <w:rPr>
          <w:rFonts w:ascii="Times New Roman" w:hAnsi="Times New Roman" w:cs="Times New Roman"/>
        </w:rPr>
        <w:t>Share Class:</w:t>
      </w:r>
      <w:r w:rsidRPr="002C6EB2">
        <w:rPr>
          <w:rFonts w:ascii="Times New Roman" w:hAnsi="Times New Roman" w:cs="Times New Roman"/>
          <w:b w:val="0"/>
        </w:rPr>
        <w:t xml:space="preserve"> Some </w:t>
      </w:r>
      <w:r>
        <w:rPr>
          <w:rFonts w:ascii="Times New Roman" w:hAnsi="Times New Roman" w:cs="Times New Roman"/>
          <w:b w:val="0"/>
        </w:rPr>
        <w:t xml:space="preserve">investment </w:t>
      </w:r>
      <w:r w:rsidRPr="002C6EB2">
        <w:rPr>
          <w:rFonts w:ascii="Times New Roman" w:hAnsi="Times New Roman" w:cs="Times New Roman"/>
          <w:b w:val="0"/>
        </w:rPr>
        <w:t>funds and companies offer more than one type or group of shares, each of which is considered a class (e.g., “Class A,” “Advisor” or “Institutional” shares).</w:t>
      </w:r>
      <w:r>
        <w:rPr>
          <w:rFonts w:ascii="Times New Roman" w:hAnsi="Times New Roman" w:cs="Times New Roman"/>
          <w:b w:val="0"/>
        </w:rPr>
        <w:t xml:space="preserve"> </w:t>
      </w:r>
      <w:r w:rsidRPr="002C6EB2">
        <w:rPr>
          <w:rFonts w:ascii="Times New Roman" w:hAnsi="Times New Roman" w:cs="Times New Roman"/>
          <w:b w:val="0"/>
        </w:rPr>
        <w:t xml:space="preserve">For </w:t>
      </w:r>
      <w:r>
        <w:rPr>
          <w:rFonts w:ascii="Times New Roman" w:hAnsi="Times New Roman" w:cs="Times New Roman"/>
          <w:b w:val="0"/>
        </w:rPr>
        <w:t xml:space="preserve">most investment </w:t>
      </w:r>
      <w:r w:rsidRPr="002C6EB2">
        <w:rPr>
          <w:rFonts w:ascii="Times New Roman" w:hAnsi="Times New Roman" w:cs="Times New Roman"/>
          <w:b w:val="0"/>
        </w:rPr>
        <w:t xml:space="preserve">funds each class has different fees and expenses but all </w:t>
      </w:r>
      <w:r>
        <w:rPr>
          <w:rFonts w:ascii="Times New Roman" w:hAnsi="Times New Roman" w:cs="Times New Roman"/>
          <w:b w:val="0"/>
        </w:rPr>
        <w:t xml:space="preserve">of </w:t>
      </w:r>
      <w:r w:rsidRPr="002C6EB2">
        <w:rPr>
          <w:rFonts w:ascii="Times New Roman" w:hAnsi="Times New Roman" w:cs="Times New Roman"/>
          <w:b w:val="0"/>
        </w:rPr>
        <w:t xml:space="preserve">the classes invest in the same pool of securities and </w:t>
      </w:r>
      <w:r>
        <w:rPr>
          <w:rFonts w:ascii="Times New Roman" w:hAnsi="Times New Roman" w:cs="Times New Roman"/>
          <w:b w:val="0"/>
        </w:rPr>
        <w:t>share</w:t>
      </w:r>
      <w:r w:rsidRPr="002C6EB2">
        <w:rPr>
          <w:rFonts w:ascii="Times New Roman" w:hAnsi="Times New Roman" w:cs="Times New Roman"/>
          <w:b w:val="0"/>
        </w:rPr>
        <w:t xml:space="preserve"> the same investment objectives.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Shareholder:</w:t>
      </w:r>
      <w:r w:rsidRPr="002C6EB2">
        <w:rPr>
          <w:rFonts w:ascii="Times New Roman" w:hAnsi="Times New Roman" w:cs="Times New Roman"/>
          <w:b w:val="0"/>
        </w:rPr>
        <w:t xml:space="preserve"> An owner of shares in an investment fund or corporation.</w:t>
      </w:r>
      <w:bookmarkStart w:id="32" w:name="short-term"/>
      <w:bookmarkEnd w:id="32"/>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Shareholder-Type Fees:</w:t>
      </w:r>
      <w:r w:rsidRPr="002C6EB2">
        <w:rPr>
          <w:rFonts w:ascii="Times New Roman" w:hAnsi="Times New Roman" w:cs="Times New Roman"/>
          <w:b w:val="0"/>
        </w:rPr>
        <w:t xml:space="preserve"> Any fee charged against your investment for purchase and sale, other than the total annual operating expenses.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Small Capitalization (Cap):</w:t>
      </w:r>
      <w:r w:rsidRPr="002C6EB2">
        <w:rPr>
          <w:rFonts w:ascii="Times New Roman" w:hAnsi="Times New Roman" w:cs="Times New Roman"/>
          <w:b w:val="0"/>
        </w:rPr>
        <w:t xml:space="preserve"> A reference to either a small company stock or an investment fund that invests in the stocks of small companies.</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Small Cap Fund:</w:t>
      </w:r>
      <w:r w:rsidRPr="002C6EB2">
        <w:rPr>
          <w:rFonts w:ascii="Times New Roman" w:hAnsi="Times New Roman" w:cs="Times New Roman"/>
          <w:b w:val="0"/>
        </w:rPr>
        <w:t xml:space="preserve"> A fund that invests primarily in small-cap stocks.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Small Cap Stocks:</w:t>
      </w:r>
      <w:r>
        <w:rPr>
          <w:rFonts w:ascii="Times New Roman" w:hAnsi="Times New Roman" w:cs="Times New Roman"/>
          <w:b w:val="0"/>
        </w:rPr>
        <w:t xml:space="preserve"> </w:t>
      </w:r>
      <w:r w:rsidRPr="002C6EB2">
        <w:rPr>
          <w:rFonts w:ascii="Times New Roman" w:hAnsi="Times New Roman" w:cs="Times New Roman"/>
          <w:b w:val="0"/>
        </w:rPr>
        <w:t>Stocks of companies with a smaller market capitalization. Small caps are often considered to offer more growth potential than large caps and mid caps but with more risk.</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E93791">
        <w:rPr>
          <w:rFonts w:ascii="Times New Roman" w:hAnsi="Times New Roman" w:cs="Times New Roman"/>
        </w:rPr>
        <w:t>Stable Value Fund:</w:t>
      </w:r>
      <w:r w:rsidRPr="00E93791">
        <w:rPr>
          <w:rFonts w:ascii="Times New Roman" w:hAnsi="Times New Roman" w:cs="Times New Roman"/>
          <w:b w:val="0"/>
        </w:rPr>
        <w:t xml:space="preserve"> An investment fund that seeks to preserve principal, provide consistent returns and liquidity.</w:t>
      </w:r>
      <w:r>
        <w:rPr>
          <w:rFonts w:ascii="Times New Roman" w:hAnsi="Times New Roman" w:cs="Times New Roman"/>
          <w:b w:val="0"/>
        </w:rPr>
        <w:t xml:space="preserve"> </w:t>
      </w:r>
      <w:r w:rsidRPr="00E93791">
        <w:rPr>
          <w:rFonts w:ascii="Times New Roman" w:hAnsi="Times New Roman" w:cs="Times New Roman"/>
          <w:b w:val="0"/>
        </w:rPr>
        <w:t xml:space="preserve">Stable value </w:t>
      </w:r>
      <w:r>
        <w:rPr>
          <w:rFonts w:ascii="Times New Roman" w:hAnsi="Times New Roman" w:cs="Times New Roman"/>
          <w:b w:val="0"/>
        </w:rPr>
        <w:t>funds</w:t>
      </w:r>
      <w:r w:rsidRPr="00E93791">
        <w:rPr>
          <w:rFonts w:ascii="Times New Roman" w:hAnsi="Times New Roman" w:cs="Times New Roman"/>
          <w:b w:val="0"/>
        </w:rPr>
        <w:t xml:space="preserve"> </w:t>
      </w:r>
      <w:r>
        <w:rPr>
          <w:rFonts w:ascii="Times New Roman" w:hAnsi="Times New Roman" w:cs="Times New Roman"/>
          <w:b w:val="0"/>
        </w:rPr>
        <w:t>include</w:t>
      </w:r>
      <w:r w:rsidRPr="00E93791">
        <w:rPr>
          <w:rFonts w:ascii="Times New Roman" w:hAnsi="Times New Roman" w:cs="Times New Roman"/>
          <w:b w:val="0"/>
        </w:rPr>
        <w:t xml:space="preserve"> collective </w:t>
      </w:r>
      <w:r>
        <w:rPr>
          <w:rFonts w:ascii="Times New Roman" w:hAnsi="Times New Roman" w:cs="Times New Roman"/>
          <w:b w:val="0"/>
        </w:rPr>
        <w:t xml:space="preserve">investment funds </w:t>
      </w:r>
      <w:r w:rsidRPr="00E93791">
        <w:rPr>
          <w:rFonts w:ascii="Times New Roman" w:hAnsi="Times New Roman" w:cs="Times New Roman"/>
          <w:b w:val="0"/>
        </w:rPr>
        <w:t>sponsored by bank</w:t>
      </w:r>
      <w:r>
        <w:rPr>
          <w:rFonts w:ascii="Times New Roman" w:hAnsi="Times New Roman" w:cs="Times New Roman"/>
          <w:b w:val="0"/>
        </w:rPr>
        <w:t>s</w:t>
      </w:r>
      <w:r w:rsidRPr="00E93791">
        <w:rPr>
          <w:rFonts w:ascii="Times New Roman" w:hAnsi="Times New Roman" w:cs="Times New Roman"/>
          <w:b w:val="0"/>
        </w:rPr>
        <w:t xml:space="preserve"> or trust compan</w:t>
      </w:r>
      <w:r>
        <w:rPr>
          <w:rFonts w:ascii="Times New Roman" w:hAnsi="Times New Roman" w:cs="Times New Roman"/>
          <w:b w:val="0"/>
        </w:rPr>
        <w:t>ies</w:t>
      </w:r>
      <w:r w:rsidRPr="00E93791">
        <w:rPr>
          <w:rFonts w:ascii="Times New Roman" w:hAnsi="Times New Roman" w:cs="Times New Roman"/>
          <w:b w:val="0"/>
        </w:rPr>
        <w:t xml:space="preserve"> or contract</w:t>
      </w:r>
      <w:r>
        <w:rPr>
          <w:rFonts w:ascii="Times New Roman" w:hAnsi="Times New Roman" w:cs="Times New Roman"/>
          <w:b w:val="0"/>
        </w:rPr>
        <w:t>s</w:t>
      </w:r>
      <w:r w:rsidRPr="00E93791">
        <w:rPr>
          <w:rFonts w:ascii="Times New Roman" w:hAnsi="Times New Roman" w:cs="Times New Roman"/>
          <w:b w:val="0"/>
        </w:rPr>
        <w:t xml:space="preserve"> issued by insurance compan</w:t>
      </w:r>
      <w:r>
        <w:rPr>
          <w:rFonts w:ascii="Times New Roman" w:hAnsi="Times New Roman" w:cs="Times New Roman"/>
          <w:b w:val="0"/>
        </w:rPr>
        <w:t>ies.</w:t>
      </w:r>
    </w:p>
    <w:p w:rsidR="00447464" w:rsidRPr="00E93791" w:rsidRDefault="00447464" w:rsidP="00AA2071">
      <w:pPr>
        <w:tabs>
          <w:tab w:val="left" w:pos="7568"/>
        </w:tabs>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Standard &amp; Poor's 500 Stock Index (S&amp;P 500):</w:t>
      </w:r>
      <w:r w:rsidRPr="002C6EB2">
        <w:rPr>
          <w:rFonts w:ascii="Times New Roman" w:hAnsi="Times New Roman" w:cs="Times New Roman"/>
          <w:b w:val="0"/>
        </w:rPr>
        <w:t xml:space="preserve"> An index comprised of 500 widely held common stocks considered to be representative of the </w:t>
      </w:r>
      <w:r>
        <w:rPr>
          <w:rFonts w:ascii="Times New Roman" w:hAnsi="Times New Roman" w:cs="Times New Roman"/>
          <w:b w:val="0"/>
        </w:rPr>
        <w:t xml:space="preserve">U.S. </w:t>
      </w:r>
      <w:r w:rsidRPr="002C6EB2">
        <w:rPr>
          <w:rFonts w:ascii="Times New Roman" w:hAnsi="Times New Roman" w:cs="Times New Roman"/>
          <w:b w:val="0"/>
        </w:rPr>
        <w:t>stock market in general. The S&amp;P 500 is often used as a benchmark for equity fund performance.</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Stock:</w:t>
      </w:r>
      <w:r w:rsidRPr="002C6EB2">
        <w:rPr>
          <w:rFonts w:ascii="Times New Roman" w:hAnsi="Times New Roman" w:cs="Times New Roman"/>
          <w:b w:val="0"/>
        </w:rPr>
        <w:t xml:space="preserve"> A security that represents an ownership interest in a corporation.</w:t>
      </w:r>
    </w:p>
    <w:p w:rsidR="00447464" w:rsidRPr="002C6EB2" w:rsidRDefault="00447464" w:rsidP="00D60147">
      <w:pPr>
        <w:jc w:val="both"/>
        <w:rPr>
          <w:rFonts w:ascii="Times New Roman" w:hAnsi="Times New Roman" w:cs="Times New Roman"/>
          <w:b w:val="0"/>
        </w:rPr>
      </w:pPr>
      <w:bookmarkStart w:id="33" w:name="volatility"/>
    </w:p>
    <w:p w:rsidR="00447464" w:rsidRDefault="00447464" w:rsidP="00D60147">
      <w:pPr>
        <w:jc w:val="both"/>
        <w:rPr>
          <w:rFonts w:ascii="Times New Roman" w:hAnsi="Times New Roman" w:cs="Times New Roman"/>
          <w:b w:val="0"/>
        </w:rPr>
      </w:pPr>
      <w:r w:rsidRPr="00B85E18">
        <w:rPr>
          <w:rFonts w:ascii="Times New Roman" w:hAnsi="Times New Roman" w:cs="Times New Roman"/>
        </w:rPr>
        <w:t>Stock Fund:</w:t>
      </w:r>
      <w:r w:rsidRPr="002C6EB2">
        <w:rPr>
          <w:rFonts w:ascii="Times New Roman" w:hAnsi="Times New Roman" w:cs="Times New Roman"/>
          <w:b w:val="0"/>
        </w:rPr>
        <w:t xml:space="preserve"> A fund that invests primarily in stocks.</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bookmarkStart w:id="34" w:name="stocksymbol"/>
      <w:r w:rsidRPr="00B85E18">
        <w:rPr>
          <w:rFonts w:ascii="Times New Roman" w:hAnsi="Times New Roman" w:cs="Times New Roman"/>
        </w:rPr>
        <w:t>Stock Symbol:</w:t>
      </w:r>
      <w:bookmarkEnd w:id="34"/>
      <w:r w:rsidRPr="002C6EB2">
        <w:rPr>
          <w:rFonts w:ascii="Times New Roman" w:hAnsi="Times New Roman" w:cs="Times New Roman"/>
          <w:b w:val="0"/>
        </w:rPr>
        <w:t xml:space="preserve"> An abbreviation using letters and numbers assigned to securities to identify them.</w:t>
      </w:r>
      <w:r>
        <w:rPr>
          <w:rFonts w:ascii="Times New Roman" w:hAnsi="Times New Roman" w:cs="Times New Roman"/>
          <w:b w:val="0"/>
        </w:rPr>
        <w:t xml:space="preserve"> </w:t>
      </w:r>
      <w:r w:rsidRPr="002C6EB2">
        <w:rPr>
          <w:rFonts w:ascii="Times New Roman" w:hAnsi="Times New Roman" w:cs="Times New Roman"/>
          <w:b w:val="0"/>
        </w:rPr>
        <w:t>Also see Ticker Symbol.</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Summary Prospectus:</w:t>
      </w:r>
      <w:r w:rsidRPr="002C6EB2">
        <w:rPr>
          <w:rFonts w:ascii="Times New Roman" w:hAnsi="Times New Roman" w:cs="Times New Roman"/>
          <w:b w:val="0"/>
        </w:rPr>
        <w:t xml:space="preserve"> A short-form prospectus that mutual funds generally may use with investors if they make the long-form prospectus and additional i</w:t>
      </w:r>
      <w:r>
        <w:rPr>
          <w:rFonts w:ascii="Times New Roman" w:hAnsi="Times New Roman" w:cs="Times New Roman"/>
          <w:b w:val="0"/>
        </w:rPr>
        <w:t>nformation available online or o</w:t>
      </w:r>
      <w:r w:rsidRPr="002C6EB2">
        <w:rPr>
          <w:rFonts w:ascii="Times New Roman" w:hAnsi="Times New Roman" w:cs="Times New Roman"/>
          <w:b w:val="0"/>
        </w:rPr>
        <w:t>n paper upon request.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Target Date Fund:</w:t>
      </w:r>
      <w:r w:rsidRPr="002C6EB2">
        <w:rPr>
          <w:rFonts w:ascii="Times New Roman" w:hAnsi="Times New Roman" w:cs="Times New Roman"/>
          <w:b w:val="0"/>
        </w:rPr>
        <w:t xml:space="preserve"> A fund designed to provide varying degrees of long-term appreciation and capital preservation based on an investor’s age or target retirement date through a mix of asset classes.</w:t>
      </w:r>
      <w:r>
        <w:rPr>
          <w:rFonts w:ascii="Times New Roman" w:hAnsi="Times New Roman" w:cs="Times New Roman"/>
          <w:b w:val="0"/>
        </w:rPr>
        <w:t xml:space="preserve"> </w:t>
      </w:r>
      <w:r w:rsidRPr="002C6EB2">
        <w:rPr>
          <w:rFonts w:ascii="Times New Roman" w:hAnsi="Times New Roman" w:cs="Times New Roman"/>
          <w:b w:val="0"/>
        </w:rPr>
        <w:t>The mix changes over time to become less focused on growth and more focused on income.</w:t>
      </w:r>
      <w:r>
        <w:rPr>
          <w:rFonts w:ascii="Times New Roman" w:hAnsi="Times New Roman" w:cs="Times New Roman"/>
          <w:b w:val="0"/>
        </w:rPr>
        <w:t xml:space="preserve"> </w:t>
      </w:r>
      <w:r w:rsidRPr="002C6EB2">
        <w:rPr>
          <w:rFonts w:ascii="Times New Roman" w:hAnsi="Times New Roman" w:cs="Times New Roman"/>
          <w:b w:val="0"/>
        </w:rPr>
        <w:t xml:space="preserve">Also known as a </w:t>
      </w:r>
      <w:r>
        <w:rPr>
          <w:rFonts w:ascii="Times New Roman" w:hAnsi="Times New Roman" w:cs="Times New Roman"/>
          <w:b w:val="0"/>
        </w:rPr>
        <w:t>“</w:t>
      </w:r>
      <w:r w:rsidRPr="002C6EB2">
        <w:rPr>
          <w:rFonts w:ascii="Times New Roman" w:hAnsi="Times New Roman" w:cs="Times New Roman"/>
          <w:b w:val="0"/>
        </w:rPr>
        <w:t>lifecycle fund.</w:t>
      </w:r>
      <w:r>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Target Risk Fund:</w:t>
      </w:r>
      <w:r w:rsidRPr="002C6EB2">
        <w:rPr>
          <w:rFonts w:ascii="Times New Roman" w:hAnsi="Times New Roman" w:cs="Times New Roman"/>
          <w:b w:val="0"/>
        </w:rPr>
        <w:t xml:space="preserve"> A fund that maintains a predetermined asset mix and generally uses words such as “conservative,” “moderate,” or “aggressive” in its name to indicate the fund’s risk level. Often used interchangeably with “lifestyle fund.”</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Ticker Symbol:</w:t>
      </w:r>
      <w:r w:rsidRPr="002C6EB2">
        <w:rPr>
          <w:rFonts w:ascii="Times New Roman" w:hAnsi="Times New Roman" w:cs="Times New Roman"/>
          <w:b w:val="0"/>
        </w:rPr>
        <w:t xml:space="preserve"> An abbreviation using letters and numbers assigned to securities and indexes to identify them.</w:t>
      </w:r>
      <w:r>
        <w:rPr>
          <w:rFonts w:ascii="Times New Roman" w:hAnsi="Times New Roman" w:cs="Times New Roman"/>
          <w:b w:val="0"/>
        </w:rPr>
        <w:t xml:space="preserve"> </w:t>
      </w:r>
      <w:r w:rsidRPr="002C6EB2">
        <w:rPr>
          <w:rFonts w:ascii="Times New Roman" w:hAnsi="Times New Roman" w:cs="Times New Roman"/>
          <w:b w:val="0"/>
        </w:rPr>
        <w:t>Also see Stock Symbol.</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Time Horizon:</w:t>
      </w:r>
      <w:r w:rsidRPr="002C6EB2">
        <w:rPr>
          <w:rFonts w:ascii="Times New Roman" w:hAnsi="Times New Roman" w:cs="Times New Roman"/>
          <w:b w:val="0"/>
        </w:rPr>
        <w:t xml:space="preserve"> The amount of time that an investor expects to hold an investment before taking money out.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Total Annual Operating Expenses:</w:t>
      </w:r>
      <w:r w:rsidRPr="002C6EB2">
        <w:rPr>
          <w:rFonts w:ascii="Times New Roman" w:hAnsi="Times New Roman" w:cs="Times New Roman"/>
          <w:b w:val="0"/>
        </w:rPr>
        <w:t xml:space="preserve"> A measure of what it costs to operate an investment, expressed as a percentage of its assets, as a dollar amount, or in basis points.</w:t>
      </w:r>
      <w:r>
        <w:rPr>
          <w:rFonts w:ascii="Times New Roman" w:hAnsi="Times New Roman" w:cs="Times New Roman"/>
          <w:b w:val="0"/>
        </w:rPr>
        <w:t xml:space="preserve"> </w:t>
      </w:r>
      <w:r w:rsidRPr="002C6EB2">
        <w:rPr>
          <w:rFonts w:ascii="Times New Roman" w:hAnsi="Times New Roman" w:cs="Times New Roman"/>
          <w:b w:val="0"/>
        </w:rPr>
        <w:t>These are costs the investor pays through a reduction in the investment's rate of return.</w:t>
      </w:r>
      <w:r>
        <w:rPr>
          <w:rFonts w:ascii="Times New Roman" w:hAnsi="Times New Roman" w:cs="Times New Roman"/>
          <w:b w:val="0"/>
        </w:rPr>
        <w:t xml:space="preserve"> </w:t>
      </w:r>
      <w:r w:rsidRPr="002C6EB2">
        <w:rPr>
          <w:rFonts w:ascii="Times New Roman" w:hAnsi="Times New Roman" w:cs="Times New Roman"/>
          <w:b w:val="0"/>
        </w:rPr>
        <w:t>See Expense Ratio</w:t>
      </w:r>
      <w:r>
        <w:rPr>
          <w:rFonts w:ascii="Times New Roman" w:hAnsi="Times New Roman" w:cs="Times New Roman"/>
          <w:b w:val="0"/>
        </w:rPr>
        <w:t xml:space="preserve"> and Operating Expenses</w:t>
      </w:r>
      <w:r w:rsidRPr="002C6EB2">
        <w:rPr>
          <w:rFonts w:ascii="Times New Roman" w:hAnsi="Times New Roman" w:cs="Times New Roman"/>
          <w:b w:val="0"/>
        </w:rPr>
        <w:t>.</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753A41">
        <w:rPr>
          <w:rFonts w:ascii="Times New Roman" w:hAnsi="Times New Roman" w:cs="Times New Roman"/>
        </w:rPr>
        <w:t>Trustee:</w:t>
      </w:r>
      <w:r w:rsidRPr="00753A41">
        <w:rPr>
          <w:rFonts w:ascii="Times New Roman" w:hAnsi="Times New Roman" w:cs="Times New Roman"/>
          <w:b w:val="0"/>
        </w:rPr>
        <w:t xml:space="preserve"> A person or entity (e.g., bank, trust company, or other organization) that is responsible for the holding and safekeeping of trust assets.</w:t>
      </w:r>
      <w:r>
        <w:rPr>
          <w:rFonts w:ascii="Times New Roman" w:hAnsi="Times New Roman" w:cs="Times New Roman"/>
          <w:b w:val="0"/>
        </w:rPr>
        <w:t xml:space="preserve"> </w:t>
      </w:r>
      <w:r w:rsidRPr="00753A41">
        <w:rPr>
          <w:rFonts w:ascii="Times New Roman" w:hAnsi="Times New Roman" w:cs="Times New Roman"/>
          <w:b w:val="0"/>
        </w:rPr>
        <w:t>A trustee may also have other duties such as investment management.</w:t>
      </w:r>
      <w:r>
        <w:rPr>
          <w:rFonts w:ascii="Times New Roman" w:hAnsi="Times New Roman" w:cs="Times New Roman"/>
          <w:b w:val="0"/>
        </w:rPr>
        <w:t xml:space="preserve"> </w:t>
      </w:r>
      <w:r w:rsidRPr="00753A41">
        <w:rPr>
          <w:rFonts w:ascii="Times New Roman" w:hAnsi="Times New Roman" w:cs="Times New Roman"/>
          <w:b w:val="0"/>
        </w:rPr>
        <w:t>A trustee that is a “directed trustee” is responsible for the safekeeping of trust assets but has no discret</w:t>
      </w:r>
      <w:r>
        <w:rPr>
          <w:rFonts w:ascii="Times New Roman" w:hAnsi="Times New Roman" w:cs="Times New Roman"/>
          <w:b w:val="0"/>
        </w:rPr>
        <w:t xml:space="preserve">ionary investment management duties or </w:t>
      </w:r>
      <w:r w:rsidRPr="002C6EB2">
        <w:rPr>
          <w:rFonts w:ascii="Times New Roman" w:hAnsi="Times New Roman" w:cs="Times New Roman"/>
          <w:b w:val="0"/>
        </w:rPr>
        <w:t>authority over the assets.</w:t>
      </w:r>
    </w:p>
    <w:p w:rsidR="00447464" w:rsidRDefault="00447464" w:rsidP="00260DA5">
      <w:pPr>
        <w:jc w:val="both"/>
        <w:rPr>
          <w:rFonts w:ascii="Times New Roman" w:hAnsi="Times New Roman" w:cs="Times New Roman"/>
        </w:rPr>
      </w:pPr>
    </w:p>
    <w:p w:rsidR="00447464" w:rsidRDefault="00447464" w:rsidP="00260DA5">
      <w:pPr>
        <w:jc w:val="both"/>
        <w:rPr>
          <w:rFonts w:ascii="Times New Roman" w:hAnsi="Times New Roman" w:cs="Times New Roman"/>
          <w:b w:val="0"/>
        </w:rPr>
      </w:pPr>
      <w:r w:rsidRPr="00B85E18">
        <w:rPr>
          <w:rFonts w:ascii="Times New Roman" w:hAnsi="Times New Roman" w:cs="Times New Roman"/>
        </w:rPr>
        <w:t>Unit:</w:t>
      </w:r>
      <w:r w:rsidRPr="002C6EB2">
        <w:rPr>
          <w:rFonts w:ascii="Times New Roman" w:hAnsi="Times New Roman" w:cs="Times New Roman"/>
          <w:b w:val="0"/>
        </w:rPr>
        <w:t xml:space="preserve"> A representation of ownership in an investment that does not issue shares.</w:t>
      </w:r>
      <w:r>
        <w:rPr>
          <w:rFonts w:ascii="Times New Roman" w:hAnsi="Times New Roman" w:cs="Times New Roman"/>
          <w:b w:val="0"/>
        </w:rPr>
        <w:t xml:space="preserve"> Most collective investment funds are divided into units instead of shares. See Share.</w:t>
      </w:r>
    </w:p>
    <w:p w:rsidR="00447464" w:rsidRPr="002C6EB2" w:rsidRDefault="00447464" w:rsidP="00260DA5">
      <w:pPr>
        <w:jc w:val="both"/>
        <w:rPr>
          <w:rFonts w:ascii="Times New Roman" w:hAnsi="Times New Roman" w:cs="Times New Roman"/>
          <w:b w:val="0"/>
        </w:rPr>
      </w:pPr>
    </w:p>
    <w:p w:rsidR="00447464" w:rsidRDefault="00447464" w:rsidP="00260DA5">
      <w:pPr>
        <w:jc w:val="both"/>
        <w:rPr>
          <w:rFonts w:ascii="Times New Roman" w:hAnsi="Times New Roman" w:cs="Times New Roman"/>
          <w:b w:val="0"/>
        </w:rPr>
      </w:pPr>
      <w:r>
        <w:rPr>
          <w:rFonts w:ascii="Times New Roman" w:hAnsi="Times New Roman" w:cs="Times New Roman"/>
        </w:rPr>
        <w:t>Unitholder:</w:t>
      </w:r>
      <w:r>
        <w:rPr>
          <w:rFonts w:ascii="Times New Roman" w:hAnsi="Times New Roman" w:cs="Times New Roman"/>
          <w:b w:val="0"/>
        </w:rPr>
        <w:t xml:space="preserve"> An owner of units in an investment. See Shareholder.</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8D2D60">
        <w:rPr>
          <w:rFonts w:ascii="Times New Roman" w:hAnsi="Times New Roman" w:cs="Times New Roman"/>
        </w:rPr>
        <w:t xml:space="preserve">Unit Class: </w:t>
      </w:r>
      <w:r w:rsidRPr="008D2D60">
        <w:rPr>
          <w:rFonts w:ascii="Times New Roman" w:hAnsi="Times New Roman" w:cs="Times New Roman"/>
          <w:b w:val="0"/>
        </w:rPr>
        <w:t>Investment funds that are divided into units (e.g., collective investment funds) instead of shares may offer more than one type or group of units, each of which is considered a class (e.g., “Class A”).</w:t>
      </w:r>
      <w:r>
        <w:rPr>
          <w:rFonts w:ascii="Times New Roman" w:hAnsi="Times New Roman" w:cs="Times New Roman"/>
          <w:b w:val="0"/>
        </w:rPr>
        <w:t xml:space="preserve"> </w:t>
      </w:r>
      <w:r w:rsidRPr="008D2D60">
        <w:rPr>
          <w:rFonts w:ascii="Times New Roman" w:hAnsi="Times New Roman" w:cs="Times New Roman"/>
          <w:b w:val="0"/>
        </w:rPr>
        <w:t>For most investment funds</w:t>
      </w:r>
      <w:r>
        <w:rPr>
          <w:rFonts w:ascii="Times New Roman" w:hAnsi="Times New Roman" w:cs="Times New Roman"/>
          <w:b w:val="0"/>
        </w:rPr>
        <w:t>,</w:t>
      </w:r>
      <w:r w:rsidRPr="008D2D60">
        <w:rPr>
          <w:rFonts w:ascii="Times New Roman" w:hAnsi="Times New Roman" w:cs="Times New Roman"/>
          <w:b w:val="0"/>
        </w:rPr>
        <w:t xml:space="preserve"> each class has different fees and expenses but all of the classes invest in the same pool of securities and share the same investment objectives.</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rPr>
      </w:pPr>
      <w:r w:rsidRPr="0009242A">
        <w:rPr>
          <w:rFonts w:ascii="Times New Roman" w:hAnsi="Times New Roman" w:cs="Times New Roman"/>
        </w:rPr>
        <w:t xml:space="preserve">Unit Value: </w:t>
      </w:r>
      <w:r w:rsidRPr="0009242A">
        <w:rPr>
          <w:rFonts w:ascii="Times New Roman" w:hAnsi="Times New Roman" w:cs="Times New Roman"/>
          <w:b w:val="0"/>
        </w:rPr>
        <w:t>The dollar value of each unit on a given date.</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U.S. Treasury Securities:</w:t>
      </w:r>
      <w:r w:rsidRPr="002C6EB2">
        <w:rPr>
          <w:rFonts w:ascii="Times New Roman" w:hAnsi="Times New Roman" w:cs="Times New Roman"/>
          <w:b w:val="0"/>
        </w:rPr>
        <w:t xml:space="preserve"> Debt securities issued by the United States government and secured by its full faith and credit. Treasury securities are the debt financing instruments of the United States Federal government, and they are often referred to simply as Treasuries.</w:t>
      </w:r>
    </w:p>
    <w:p w:rsidR="00447464" w:rsidRDefault="00447464" w:rsidP="00D60147">
      <w:pPr>
        <w:jc w:val="both"/>
        <w:rPr>
          <w:rFonts w:ascii="Times New Roman" w:hAnsi="Times New Roman" w:cs="Times New Roman"/>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Value Fund:</w:t>
      </w:r>
      <w:r w:rsidRPr="002C6EB2">
        <w:rPr>
          <w:rFonts w:ascii="Times New Roman" w:hAnsi="Times New Roman" w:cs="Times New Roman"/>
          <w:b w:val="0"/>
        </w:rPr>
        <w:t xml:space="preserve"> A fund that invests primarily in stocks that are believed to be priced below what they are really worth.</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Variable Return Investment:</w:t>
      </w:r>
      <w:r w:rsidRPr="002C6EB2">
        <w:rPr>
          <w:rFonts w:ascii="Times New Roman" w:hAnsi="Times New Roman" w:cs="Times New Roman"/>
          <w:b w:val="0"/>
        </w:rPr>
        <w:t xml:space="preserve"> Investments for which the return is not fixed. This term includes stock and bond funds as well as investments that seek to preserve principal but do not guarantee a particular return, e.g., money market funds and stable value funds.</w:t>
      </w:r>
    </w:p>
    <w:p w:rsidR="00447464" w:rsidRPr="002C6EB2" w:rsidRDefault="00447464" w:rsidP="00D60147">
      <w:pPr>
        <w:jc w:val="both"/>
        <w:rPr>
          <w:rFonts w:ascii="Times New Roman" w:hAnsi="Times New Roman" w:cs="Times New Roman"/>
          <w:b w:val="0"/>
        </w:rPr>
      </w:pPr>
    </w:p>
    <w:bookmarkEnd w:id="33"/>
    <w:p w:rsidR="00447464" w:rsidRDefault="00447464" w:rsidP="00D60147">
      <w:pPr>
        <w:jc w:val="both"/>
        <w:rPr>
          <w:rFonts w:ascii="Times New Roman" w:hAnsi="Times New Roman" w:cs="Times New Roman"/>
          <w:b w:val="0"/>
        </w:rPr>
      </w:pPr>
      <w:r w:rsidRPr="00B85E18">
        <w:rPr>
          <w:rFonts w:ascii="Times New Roman" w:hAnsi="Times New Roman" w:cs="Times New Roman"/>
        </w:rPr>
        <w:t>Volatility:</w:t>
      </w:r>
      <w:r w:rsidRPr="002C6EB2">
        <w:rPr>
          <w:rFonts w:ascii="Times New Roman" w:hAnsi="Times New Roman" w:cs="Times New Roman"/>
          <w:b w:val="0"/>
        </w:rPr>
        <w:t xml:space="preserve"> The amount and frequency of fluctuations in the price of a security, commodity, or a market within a specified time period.</w:t>
      </w:r>
      <w:r>
        <w:rPr>
          <w:rFonts w:ascii="Times New Roman" w:hAnsi="Times New Roman" w:cs="Times New Roman"/>
          <w:b w:val="0"/>
        </w:rPr>
        <w:t xml:space="preserve"> </w:t>
      </w:r>
      <w:r w:rsidRPr="002C6EB2">
        <w:rPr>
          <w:rFonts w:ascii="Times New Roman" w:hAnsi="Times New Roman" w:cs="Times New Roman"/>
          <w:b w:val="0"/>
        </w:rPr>
        <w:t>Generally, an investment with high volatility is said to have higher risk since there is an increased chance that the price of the security will have fallen when an investor wants to sell.</w:t>
      </w:r>
    </w:p>
    <w:p w:rsidR="00447464" w:rsidRPr="002C6EB2" w:rsidRDefault="00447464" w:rsidP="00D60147">
      <w:pPr>
        <w:jc w:val="both"/>
        <w:rPr>
          <w:rFonts w:ascii="Times New Roman" w:hAnsi="Times New Roman" w:cs="Times New Roman"/>
          <w:b w:val="0"/>
        </w:rPr>
      </w:pPr>
    </w:p>
    <w:p w:rsidR="00447464" w:rsidRDefault="00447464" w:rsidP="00D60147">
      <w:pPr>
        <w:jc w:val="both"/>
        <w:rPr>
          <w:rFonts w:ascii="Times New Roman" w:hAnsi="Times New Roman" w:cs="Times New Roman"/>
          <w:b w:val="0"/>
        </w:rPr>
      </w:pPr>
      <w:r w:rsidRPr="00B85E18">
        <w:rPr>
          <w:rFonts w:ascii="Times New Roman" w:hAnsi="Times New Roman" w:cs="Times New Roman"/>
        </w:rPr>
        <w:t>Wrap Fee:</w:t>
      </w:r>
      <w:r w:rsidRPr="002C6EB2">
        <w:rPr>
          <w:rFonts w:ascii="Times New Roman" w:hAnsi="Times New Roman" w:cs="Times New Roman"/>
          <w:b w:val="0"/>
        </w:rPr>
        <w:t xml:space="preserve"> A fee or expense that is added to or “wrapped around” an investment to pay for one or more </w:t>
      </w:r>
      <w:r>
        <w:rPr>
          <w:rFonts w:ascii="Times New Roman" w:hAnsi="Times New Roman" w:cs="Times New Roman"/>
          <w:b w:val="0"/>
        </w:rPr>
        <w:t xml:space="preserve">product features or </w:t>
      </w:r>
      <w:r w:rsidRPr="002C6EB2">
        <w:rPr>
          <w:rFonts w:ascii="Times New Roman" w:hAnsi="Times New Roman" w:cs="Times New Roman"/>
          <w:b w:val="0"/>
        </w:rPr>
        <w:t>services.</w:t>
      </w:r>
    </w:p>
    <w:p w:rsidR="00447464" w:rsidRPr="002C6EB2" w:rsidRDefault="00447464" w:rsidP="00D60147">
      <w:pPr>
        <w:jc w:val="both"/>
        <w:rPr>
          <w:rFonts w:ascii="Times New Roman" w:hAnsi="Times New Roman" w:cs="Times New Roman"/>
          <w:b w:val="0"/>
        </w:rPr>
      </w:pPr>
    </w:p>
    <w:p w:rsidR="00447464" w:rsidRPr="002C6EB2" w:rsidRDefault="00447464" w:rsidP="00D60147">
      <w:pPr>
        <w:jc w:val="both"/>
        <w:rPr>
          <w:rFonts w:ascii="Times New Roman" w:hAnsi="Times New Roman" w:cs="Times New Roman"/>
          <w:b w:val="0"/>
        </w:rPr>
      </w:pPr>
      <w:r w:rsidRPr="00B85E18">
        <w:rPr>
          <w:rFonts w:ascii="Times New Roman" w:hAnsi="Times New Roman" w:cs="Times New Roman"/>
        </w:rPr>
        <w:t>Yield:</w:t>
      </w:r>
      <w:r w:rsidRPr="002C6EB2">
        <w:rPr>
          <w:rFonts w:ascii="Times New Roman" w:hAnsi="Times New Roman" w:cs="Times New Roman"/>
          <w:b w:val="0"/>
        </w:rPr>
        <w:t xml:space="preserve"> The value of interest or dividend payments from an investment, usually stated as a percentage of the investment price.</w:t>
      </w:r>
    </w:p>
    <w:p w:rsidR="00447464" w:rsidRPr="00884716" w:rsidRDefault="00447464" w:rsidP="0099432A">
      <w:pPr>
        <w:rPr>
          <w:rFonts w:ascii="Times New Roman" w:hAnsi="Times New Roman" w:cs="Times New Roman"/>
          <w:u w:val="single"/>
        </w:rPr>
      </w:pPr>
    </w:p>
    <w:p w:rsidR="00447464" w:rsidRDefault="00447464">
      <w:pPr>
        <w:rPr>
          <w:rFonts w:ascii="Times New Roman" w:hAnsi="Times New Roman" w:cs="Times New Roman"/>
          <w:lang w:val="it-IT"/>
        </w:rPr>
      </w:pPr>
      <w:r w:rsidRPr="00884716">
        <w:rPr>
          <w:rFonts w:ascii="Times New Roman" w:hAnsi="Times New Roman" w:cs="Times New Roman"/>
          <w:lang w:val="it-IT"/>
        </w:rPr>
        <w:br w:type="page"/>
      </w:r>
    </w:p>
    <w:p w:rsidR="00447464" w:rsidRDefault="00447464" w:rsidP="00E67AA8">
      <w:pPr>
        <w:jc w:val="center"/>
        <w:rPr>
          <w:rFonts w:ascii="Times New Roman" w:hAnsi="Times New Roman" w:cs="Times New Roman"/>
        </w:rPr>
      </w:pPr>
      <w:r>
        <w:rPr>
          <w:rFonts w:ascii="Times New Roman" w:hAnsi="Times New Roman" w:cs="Times New Roman"/>
        </w:rPr>
        <w:t>PART 2</w:t>
      </w:r>
    </w:p>
    <w:p w:rsidR="00447464" w:rsidRDefault="00447464" w:rsidP="00E67AA8">
      <w:pPr>
        <w:jc w:val="center"/>
        <w:rPr>
          <w:rFonts w:ascii="Times New Roman" w:hAnsi="Times New Roman" w:cs="Times New Roman"/>
        </w:rPr>
      </w:pPr>
    </w:p>
    <w:p w:rsidR="00447464" w:rsidRDefault="00447464" w:rsidP="00E67AA8">
      <w:pPr>
        <w:jc w:val="center"/>
        <w:rPr>
          <w:rFonts w:ascii="Times New Roman" w:hAnsi="Times New Roman" w:cs="Times New Roman"/>
          <w:u w:val="single"/>
        </w:rPr>
      </w:pPr>
      <w:r>
        <w:rPr>
          <w:rFonts w:ascii="Times New Roman" w:hAnsi="Times New Roman" w:cs="Times New Roman"/>
          <w:u w:val="single"/>
        </w:rPr>
        <w:t>Insurance Products</w:t>
      </w:r>
    </w:p>
    <w:p w:rsidR="00447464" w:rsidRDefault="00447464" w:rsidP="00E67AA8">
      <w:pPr>
        <w:jc w:val="center"/>
        <w:rPr>
          <w:rFonts w:ascii="Times New Roman" w:hAnsi="Times New Roman" w:cs="Times New Roman"/>
          <w:u w:val="single"/>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Annuity:</w:t>
      </w:r>
      <w:r w:rsidRPr="00481CAE">
        <w:rPr>
          <w:rFonts w:ascii="Times New Roman" w:hAnsi="Times New Roman" w:cs="Times New Roman"/>
          <w:b w:val="0"/>
        </w:rPr>
        <w:t xml:space="preserve"> A form of insurance contract that provides a stream of periodic payments, typically for life.</w:t>
      </w:r>
      <w:r>
        <w:rPr>
          <w:rFonts w:ascii="Times New Roman" w:hAnsi="Times New Roman" w:cs="Times New Roman"/>
          <w:b w:val="0"/>
        </w:rPr>
        <w:t xml:space="preserve"> </w:t>
      </w:r>
      <w:r w:rsidRPr="00481CAE">
        <w:rPr>
          <w:rFonts w:ascii="Times New Roman" w:hAnsi="Times New Roman" w:cs="Times New Roman"/>
          <w:b w:val="0"/>
        </w:rPr>
        <w:t>Annuities are available in a variety of forms. See also Life Annuity, Joint and Last Survivor Annuity.</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Annuity Commencement Date:</w:t>
      </w:r>
      <w:r w:rsidRPr="00481CAE">
        <w:rPr>
          <w:rFonts w:ascii="Times New Roman" w:hAnsi="Times New Roman" w:cs="Times New Roman"/>
          <w:b w:val="0"/>
        </w:rPr>
        <w:t xml:space="preserve"> The date set forth in the annuity contract on which annuity payments will start.</w:t>
      </w:r>
      <w:r>
        <w:rPr>
          <w:rFonts w:ascii="Times New Roman" w:hAnsi="Times New Roman" w:cs="Times New Roman"/>
          <w:b w:val="0"/>
        </w:rPr>
        <w:t xml:space="preserve"> </w:t>
      </w:r>
      <w:r w:rsidRPr="00481CAE">
        <w:rPr>
          <w:rFonts w:ascii="Times New Roman" w:hAnsi="Times New Roman" w:cs="Times New Roman"/>
          <w:b w:val="0"/>
        </w:rPr>
        <w:t>Also known as the “annuity start date.”</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Cash Refund Annuity:</w:t>
      </w:r>
      <w:r w:rsidRPr="00481CAE">
        <w:rPr>
          <w:rFonts w:ascii="Times New Roman" w:hAnsi="Times New Roman" w:cs="Times New Roman"/>
          <w:b w:val="0"/>
        </w:rPr>
        <w:t xml:space="preserve"> An annuity that makes periodic payments for the life of an individual and a benefit payable to a beneficiary upon death equal to the premium(s) paid less payments made to the individual.</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Deferred Annuity:</w:t>
      </w:r>
      <w:r w:rsidRPr="00481CAE">
        <w:rPr>
          <w:rFonts w:ascii="Times New Roman" w:hAnsi="Times New Roman" w:cs="Times New Roman"/>
          <w:b w:val="0"/>
        </w:rPr>
        <w:t xml:space="preserve"> An annuity contract under which periodic income payments begin at a </w:t>
      </w:r>
      <w:r>
        <w:rPr>
          <w:rFonts w:ascii="Times New Roman" w:hAnsi="Times New Roman" w:cs="Times New Roman"/>
          <w:b w:val="0"/>
        </w:rPr>
        <w:t>future</w:t>
      </w:r>
      <w:r w:rsidRPr="00481CAE">
        <w:rPr>
          <w:rFonts w:ascii="Times New Roman" w:hAnsi="Times New Roman" w:cs="Times New Roman"/>
          <w:b w:val="0"/>
        </w:rPr>
        <w:t xml:space="preserve"> date.</w:t>
      </w:r>
      <w:r>
        <w:rPr>
          <w:rFonts w:ascii="Times New Roman" w:hAnsi="Times New Roman" w:cs="Times New Roman"/>
          <w:b w:val="0"/>
        </w:rPr>
        <w:t xml:space="preserve"> </w:t>
      </w:r>
      <w:r w:rsidRPr="00481CAE">
        <w:rPr>
          <w:rFonts w:ascii="Times New Roman" w:hAnsi="Times New Roman" w:cs="Times New Roman"/>
          <w:b w:val="0"/>
        </w:rPr>
        <w:t>See Annuity Commencement Date.</w:t>
      </w:r>
    </w:p>
    <w:p w:rsidR="00447464" w:rsidRPr="00481CAE" w:rsidRDefault="00447464" w:rsidP="00481CAE">
      <w:pPr>
        <w:jc w:val="both"/>
        <w:rPr>
          <w:rFonts w:ascii="Times New Roman" w:hAnsi="Times New Roman" w:cs="Times New Roman"/>
          <w:b w:val="0"/>
        </w:rPr>
      </w:pPr>
    </w:p>
    <w:p w:rsidR="00447464" w:rsidRDefault="00447464" w:rsidP="00481CAE">
      <w:pPr>
        <w:jc w:val="both"/>
        <w:rPr>
          <w:rFonts w:ascii="Times New Roman" w:hAnsi="Times New Roman" w:cs="Times New Roman"/>
          <w:b w:val="0"/>
        </w:rPr>
      </w:pPr>
      <w:r w:rsidRPr="00481CAE">
        <w:rPr>
          <w:rFonts w:ascii="Times New Roman" w:hAnsi="Times New Roman" w:cs="Times New Roman"/>
        </w:rPr>
        <w:t>Fixed Annuity:</w:t>
      </w:r>
      <w:r w:rsidRPr="00481CAE">
        <w:rPr>
          <w:rFonts w:ascii="Times New Roman" w:hAnsi="Times New Roman" w:cs="Times New Roman"/>
          <w:b w:val="0"/>
        </w:rPr>
        <w:t xml:space="preserve"> An annuity contract in which the insurance company makes fixed or guaranteed payments to an individual for the term of the contract.</w:t>
      </w:r>
    </w:p>
    <w:p w:rsidR="00447464" w:rsidRPr="00481CAE" w:rsidRDefault="00447464" w:rsidP="00481CAE">
      <w:pPr>
        <w:jc w:val="both"/>
        <w:rPr>
          <w:rFonts w:ascii="Times New Roman" w:hAnsi="Times New Roman" w:cs="Times New Roman"/>
          <w:b w:val="0"/>
        </w:rPr>
      </w:pPr>
    </w:p>
    <w:p w:rsidR="00447464" w:rsidRDefault="00447464" w:rsidP="00FC3EA5">
      <w:pPr>
        <w:jc w:val="both"/>
        <w:rPr>
          <w:rFonts w:ascii="Times New Roman" w:hAnsi="Times New Roman" w:cs="Times New Roman"/>
          <w:b w:val="0"/>
        </w:rPr>
      </w:pPr>
      <w:r w:rsidRPr="00B85E18">
        <w:rPr>
          <w:rFonts w:ascii="Times New Roman" w:hAnsi="Times New Roman" w:cs="Times New Roman"/>
        </w:rPr>
        <w:t>Group Annuity Contract:</w:t>
      </w:r>
      <w:r w:rsidRPr="00B85E18">
        <w:rPr>
          <w:rFonts w:ascii="Times New Roman" w:hAnsi="Times New Roman" w:cs="Times New Roman"/>
          <w:b w:val="0"/>
        </w:rPr>
        <w:t xml:space="preserve"> An annuity contract entered into between an insurance company and an owner for the benefit of a designated group, such as retirement plan participants.</w:t>
      </w:r>
    </w:p>
    <w:p w:rsidR="00447464" w:rsidRDefault="00447464" w:rsidP="00481CAE">
      <w:pPr>
        <w:jc w:val="both"/>
        <w:rPr>
          <w:rFonts w:ascii="Times New Roman" w:hAnsi="Times New Roman" w:cs="Times New Roman"/>
        </w:rPr>
      </w:pPr>
    </w:p>
    <w:p w:rsidR="00447464" w:rsidRDefault="00447464" w:rsidP="00481CAE">
      <w:pPr>
        <w:jc w:val="both"/>
        <w:rPr>
          <w:rFonts w:ascii="Times New Roman" w:hAnsi="Times New Roman" w:cs="Times New Roman"/>
          <w:b w:val="0"/>
        </w:rPr>
      </w:pPr>
      <w:r w:rsidRPr="00481CAE">
        <w:rPr>
          <w:rFonts w:ascii="Times New Roman" w:hAnsi="Times New Roman" w:cs="Times New Roman"/>
        </w:rPr>
        <w:t>Guaranteed Interest Account:</w:t>
      </w:r>
      <w:r w:rsidRPr="00481CAE">
        <w:rPr>
          <w:rFonts w:ascii="Times New Roman" w:hAnsi="Times New Roman" w:cs="Times New Roman"/>
          <w:b w:val="0"/>
        </w:rPr>
        <w:t xml:space="preserve"> An account within a </w:t>
      </w:r>
      <w:r>
        <w:rPr>
          <w:rFonts w:ascii="Times New Roman" w:hAnsi="Times New Roman" w:cs="Times New Roman"/>
          <w:b w:val="0"/>
        </w:rPr>
        <w:t>f</w:t>
      </w:r>
      <w:r w:rsidRPr="00481CAE">
        <w:rPr>
          <w:rFonts w:ascii="Times New Roman" w:hAnsi="Times New Roman" w:cs="Times New Roman"/>
          <w:b w:val="0"/>
        </w:rPr>
        <w:t xml:space="preserve">ixed </w:t>
      </w:r>
      <w:r>
        <w:rPr>
          <w:rFonts w:ascii="Times New Roman" w:hAnsi="Times New Roman" w:cs="Times New Roman"/>
          <w:b w:val="0"/>
        </w:rPr>
        <w:t>a</w:t>
      </w:r>
      <w:r w:rsidRPr="00481CAE">
        <w:rPr>
          <w:rFonts w:ascii="Times New Roman" w:hAnsi="Times New Roman" w:cs="Times New Roman"/>
          <w:b w:val="0"/>
        </w:rPr>
        <w:t xml:space="preserve">nnuity or a </w:t>
      </w:r>
      <w:r>
        <w:rPr>
          <w:rFonts w:ascii="Times New Roman" w:hAnsi="Times New Roman" w:cs="Times New Roman"/>
          <w:b w:val="0"/>
        </w:rPr>
        <w:t>v</w:t>
      </w:r>
      <w:r w:rsidRPr="00481CAE">
        <w:rPr>
          <w:rFonts w:ascii="Times New Roman" w:hAnsi="Times New Roman" w:cs="Times New Roman"/>
          <w:b w:val="0"/>
        </w:rPr>
        <w:t xml:space="preserve">ariable </w:t>
      </w:r>
      <w:r>
        <w:rPr>
          <w:rFonts w:ascii="Times New Roman" w:hAnsi="Times New Roman" w:cs="Times New Roman"/>
          <w:b w:val="0"/>
        </w:rPr>
        <w:t>a</w:t>
      </w:r>
      <w:r w:rsidRPr="00481CAE">
        <w:rPr>
          <w:rFonts w:ascii="Times New Roman" w:hAnsi="Times New Roman" w:cs="Times New Roman"/>
          <w:b w:val="0"/>
        </w:rPr>
        <w:t>nnuity that is guaranteed by the insurance company to earn at least a minimum rate of interest while invested in the contract.</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Guaranteed Investment Contract:</w:t>
      </w:r>
      <w:r w:rsidRPr="00481CAE">
        <w:rPr>
          <w:rFonts w:ascii="Times New Roman" w:hAnsi="Times New Roman" w:cs="Times New Roman"/>
          <w:b w:val="0"/>
        </w:rPr>
        <w:t xml:space="preserve"> A contract issued by an insurance company that guarantees a specific rate of return on an investment over a certain time period.</w:t>
      </w:r>
    </w:p>
    <w:p w:rsidR="00447464" w:rsidRPr="00481CAE" w:rsidRDefault="00447464" w:rsidP="00481CAE">
      <w:pPr>
        <w:jc w:val="both"/>
        <w:rPr>
          <w:rFonts w:ascii="Times New Roman" w:hAnsi="Times New Roman" w:cs="Times New Roman"/>
          <w:b w:val="0"/>
        </w:rPr>
      </w:pPr>
    </w:p>
    <w:p w:rsidR="00447464" w:rsidRDefault="00447464" w:rsidP="00481CAE">
      <w:pPr>
        <w:jc w:val="both"/>
        <w:rPr>
          <w:rFonts w:ascii="Times New Roman" w:hAnsi="Times New Roman" w:cs="Times New Roman"/>
          <w:b w:val="0"/>
        </w:rPr>
      </w:pPr>
      <w:r w:rsidRPr="00481CAE">
        <w:rPr>
          <w:rFonts w:ascii="Times New Roman" w:hAnsi="Times New Roman" w:cs="Times New Roman"/>
        </w:rPr>
        <w:t>Guaranteed Lifetime</w:t>
      </w:r>
      <w:r>
        <w:rPr>
          <w:rFonts w:ascii="Times New Roman" w:hAnsi="Times New Roman" w:cs="Times New Roman"/>
        </w:rPr>
        <w:t xml:space="preserve"> Withdrawal Benefit or </w:t>
      </w:r>
      <w:r w:rsidRPr="00481CAE">
        <w:rPr>
          <w:rFonts w:ascii="Times New Roman" w:hAnsi="Times New Roman" w:cs="Times New Roman"/>
        </w:rPr>
        <w:t>Guaranteed Minimum Withdrawal Benefit:</w:t>
      </w:r>
      <w:r w:rsidRPr="00481CAE">
        <w:rPr>
          <w:rFonts w:ascii="Times New Roman" w:hAnsi="Times New Roman" w:cs="Times New Roman"/>
          <w:b w:val="0"/>
        </w:rPr>
        <w:t xml:space="preserve"> A feature </w:t>
      </w:r>
      <w:r>
        <w:rPr>
          <w:rFonts w:ascii="Times New Roman" w:hAnsi="Times New Roman" w:cs="Times New Roman"/>
          <w:b w:val="0"/>
        </w:rPr>
        <w:t xml:space="preserve">that may be </w:t>
      </w:r>
      <w:r w:rsidRPr="00481CAE">
        <w:rPr>
          <w:rFonts w:ascii="Times New Roman" w:hAnsi="Times New Roman" w:cs="Times New Roman"/>
          <w:b w:val="0"/>
        </w:rPr>
        <w:t>offer</w:t>
      </w:r>
      <w:r>
        <w:rPr>
          <w:rFonts w:ascii="Times New Roman" w:hAnsi="Times New Roman" w:cs="Times New Roman"/>
          <w:b w:val="0"/>
        </w:rPr>
        <w:t>ed</w:t>
      </w:r>
      <w:r w:rsidRPr="00481CAE">
        <w:rPr>
          <w:rFonts w:ascii="Times New Roman" w:hAnsi="Times New Roman" w:cs="Times New Roman"/>
          <w:b w:val="0"/>
        </w:rPr>
        <w:t xml:space="preserve"> under an annuity contract in which the insurance company promises an individual may withdraw a specified amount from an account, even if the account balance is reduced to zero: (1) for the life of the individual, or the joint lives of two individuals (e.g., the individual and spouse); or (2) for a specified period of time.</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Immediate Annuity:</w:t>
      </w:r>
      <w:r w:rsidRPr="00481CAE">
        <w:rPr>
          <w:rFonts w:ascii="Times New Roman" w:hAnsi="Times New Roman" w:cs="Times New Roman"/>
          <w:b w:val="0"/>
        </w:rPr>
        <w:t xml:space="preserve"> An annuity contract under which periodic income payments begin within 12 months of purchase.</w:t>
      </w:r>
    </w:p>
    <w:p w:rsidR="00447464" w:rsidRPr="00481CAE" w:rsidRDefault="00447464" w:rsidP="00481CAE">
      <w:pPr>
        <w:jc w:val="both"/>
        <w:rPr>
          <w:rFonts w:ascii="Times New Roman" w:hAnsi="Times New Roman" w:cs="Times New Roman"/>
          <w:b w:val="0"/>
        </w:rPr>
      </w:pPr>
    </w:p>
    <w:p w:rsidR="00447464" w:rsidRDefault="00447464" w:rsidP="00E23B07">
      <w:pPr>
        <w:jc w:val="both"/>
        <w:rPr>
          <w:rFonts w:ascii="Times New Roman" w:hAnsi="Times New Roman" w:cs="Times New Roman"/>
          <w:b w:val="0"/>
        </w:rPr>
      </w:pPr>
      <w:r w:rsidRPr="00B85E18">
        <w:rPr>
          <w:rFonts w:ascii="Times New Roman" w:hAnsi="Times New Roman" w:cs="Times New Roman"/>
        </w:rPr>
        <w:t>Individual Annuity Contract:</w:t>
      </w:r>
      <w:r w:rsidRPr="00B85E18">
        <w:rPr>
          <w:rFonts w:ascii="Times New Roman" w:hAnsi="Times New Roman" w:cs="Times New Roman"/>
          <w:b w:val="0"/>
        </w:rPr>
        <w:t xml:space="preserve"> An annuity contract generally entered into between an insurance company and a person or persons.</w:t>
      </w:r>
    </w:p>
    <w:p w:rsidR="00447464" w:rsidRDefault="00447464" w:rsidP="00481CAE">
      <w:pPr>
        <w:jc w:val="both"/>
        <w:rPr>
          <w:rFonts w:ascii="Times New Roman" w:hAnsi="Times New Roman" w:cs="Times New Roman"/>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Joint and Last Survivor Annuity:</w:t>
      </w:r>
      <w:r w:rsidRPr="00481CAE">
        <w:rPr>
          <w:rFonts w:ascii="Times New Roman" w:hAnsi="Times New Roman" w:cs="Times New Roman"/>
          <w:b w:val="0"/>
        </w:rPr>
        <w:t xml:space="preserve"> An annuity that provides periodic payments for the joint lives of two individuals with benefits payable upon the death of one individual to the surviving individual at, for example, 50%, 75% or 100% of the original payment amount depending upon the terms of the contract.</w:t>
      </w:r>
    </w:p>
    <w:p w:rsidR="00447464" w:rsidRPr="00481CAE" w:rsidRDefault="00447464" w:rsidP="00481CAE">
      <w:pPr>
        <w:jc w:val="both"/>
        <w:rPr>
          <w:rFonts w:ascii="Times New Roman" w:hAnsi="Times New Roman" w:cs="Times New Roman"/>
          <w:b w:val="0"/>
        </w:rPr>
      </w:pPr>
    </w:p>
    <w:p w:rsidR="00447464" w:rsidRDefault="00447464" w:rsidP="00481CAE">
      <w:pPr>
        <w:jc w:val="both"/>
        <w:rPr>
          <w:rFonts w:ascii="Times New Roman" w:hAnsi="Times New Roman" w:cs="Times New Roman"/>
        </w:rPr>
      </w:pPr>
    </w:p>
    <w:p w:rsidR="00447464" w:rsidRDefault="00447464" w:rsidP="00481CAE">
      <w:pPr>
        <w:jc w:val="both"/>
        <w:rPr>
          <w:rFonts w:ascii="Times New Roman" w:hAnsi="Times New Roman" w:cs="Times New Roman"/>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Life Annuity:</w:t>
      </w:r>
      <w:r w:rsidRPr="00481CAE">
        <w:rPr>
          <w:rFonts w:ascii="Times New Roman" w:hAnsi="Times New Roman" w:cs="Times New Roman"/>
          <w:b w:val="0"/>
        </w:rPr>
        <w:t xml:space="preserve"> An annuity that makes periodic payments only for the life of one individual.</w:t>
      </w:r>
      <w:r>
        <w:rPr>
          <w:rFonts w:ascii="Times New Roman" w:hAnsi="Times New Roman" w:cs="Times New Roman"/>
          <w:b w:val="0"/>
        </w:rPr>
        <w:t xml:space="preserve"> Also </w:t>
      </w:r>
      <w:r w:rsidRPr="00481CAE">
        <w:rPr>
          <w:rFonts w:ascii="Times New Roman" w:hAnsi="Times New Roman" w:cs="Times New Roman"/>
          <w:b w:val="0"/>
        </w:rPr>
        <w:t>known as “single life annuity.”</w:t>
      </w:r>
    </w:p>
    <w:p w:rsidR="00447464" w:rsidRPr="00481CAE" w:rsidRDefault="00447464" w:rsidP="00481CAE">
      <w:pPr>
        <w:jc w:val="both"/>
        <w:rPr>
          <w:rFonts w:ascii="Times New Roman" w:hAnsi="Times New Roman" w:cs="Times New Roman"/>
          <w:b w:val="0"/>
        </w:rPr>
      </w:pPr>
    </w:p>
    <w:p w:rsidR="00447464" w:rsidRPr="00481CAE" w:rsidRDefault="00447464" w:rsidP="00481CAE">
      <w:pPr>
        <w:jc w:val="both"/>
        <w:rPr>
          <w:rFonts w:ascii="Times New Roman" w:hAnsi="Times New Roman" w:cs="Times New Roman"/>
          <w:b w:val="0"/>
        </w:rPr>
      </w:pPr>
      <w:r w:rsidRPr="00481CAE">
        <w:rPr>
          <w:rFonts w:ascii="Times New Roman" w:hAnsi="Times New Roman" w:cs="Times New Roman"/>
        </w:rPr>
        <w:t>Longevity Risk:</w:t>
      </w:r>
      <w:r w:rsidRPr="00481CAE">
        <w:rPr>
          <w:rFonts w:ascii="Times New Roman" w:hAnsi="Times New Roman" w:cs="Times New Roman"/>
          <w:b w:val="0"/>
        </w:rPr>
        <w:t xml:space="preserve"> The risk that you will live longer than expected with the potential result that you run out of money before you die.</w:t>
      </w:r>
    </w:p>
    <w:p w:rsidR="00447464" w:rsidRPr="00481CAE" w:rsidRDefault="00447464" w:rsidP="00481CAE">
      <w:pPr>
        <w:jc w:val="both"/>
        <w:rPr>
          <w:rFonts w:ascii="Times New Roman" w:hAnsi="Times New Roman" w:cs="Times New Roman"/>
          <w:b w:val="0"/>
        </w:rPr>
      </w:pPr>
    </w:p>
    <w:p w:rsidR="00447464" w:rsidRDefault="00447464" w:rsidP="00481CAE">
      <w:pPr>
        <w:jc w:val="both"/>
        <w:rPr>
          <w:rFonts w:ascii="Times New Roman" w:hAnsi="Times New Roman" w:cs="Times New Roman"/>
          <w:b w:val="0"/>
        </w:rPr>
      </w:pPr>
      <w:r w:rsidRPr="00481CAE">
        <w:rPr>
          <w:rFonts w:ascii="Times New Roman" w:hAnsi="Times New Roman" w:cs="Times New Roman"/>
        </w:rPr>
        <w:t>Period Certain:</w:t>
      </w:r>
      <w:r w:rsidRPr="00481CAE">
        <w:rPr>
          <w:rFonts w:ascii="Times New Roman" w:hAnsi="Times New Roman" w:cs="Times New Roman"/>
          <w:b w:val="0"/>
        </w:rPr>
        <w:t xml:space="preserve"> </w:t>
      </w:r>
      <w:r w:rsidRPr="00705720">
        <w:rPr>
          <w:rFonts w:ascii="Times New Roman" w:hAnsi="Times New Roman" w:cs="Times New Roman"/>
          <w:b w:val="0"/>
        </w:rPr>
        <w:t>A payment feature that may be available in an annuity contract which guarantees periodic payments for no less than a set period of time.</w:t>
      </w:r>
      <w:r>
        <w:rPr>
          <w:rFonts w:ascii="Times New Roman" w:hAnsi="Times New Roman" w:cs="Times New Roman"/>
          <w:b w:val="0"/>
        </w:rPr>
        <w:t xml:space="preserve"> </w:t>
      </w:r>
      <w:r w:rsidRPr="00705720">
        <w:rPr>
          <w:rFonts w:ascii="Times New Roman" w:hAnsi="Times New Roman" w:cs="Times New Roman"/>
          <w:b w:val="0"/>
        </w:rPr>
        <w:t>For example, in a life annuity, periodic payments would be made for the longer of either: (1) the guaranteed period</w:t>
      </w:r>
      <w:r>
        <w:rPr>
          <w:rFonts w:ascii="Times New Roman" w:hAnsi="Times New Roman" w:cs="Times New Roman"/>
          <w:b w:val="0"/>
        </w:rPr>
        <w:t>,</w:t>
      </w:r>
      <w:r w:rsidRPr="00705720">
        <w:rPr>
          <w:rFonts w:ascii="Times New Roman" w:hAnsi="Times New Roman" w:cs="Times New Roman"/>
          <w:b w:val="0"/>
        </w:rPr>
        <w:t xml:space="preserve"> to the individual or a beneficiary</w:t>
      </w:r>
      <w:r>
        <w:rPr>
          <w:rFonts w:ascii="Times New Roman" w:hAnsi="Times New Roman" w:cs="Times New Roman"/>
          <w:b w:val="0"/>
        </w:rPr>
        <w:t>,</w:t>
      </w:r>
      <w:r w:rsidRPr="00705720">
        <w:rPr>
          <w:rFonts w:ascii="Times New Roman" w:hAnsi="Times New Roman" w:cs="Times New Roman"/>
          <w:b w:val="0"/>
        </w:rPr>
        <w:t xml:space="preserve"> or (2) the life of the individual.</w:t>
      </w:r>
    </w:p>
    <w:p w:rsidR="00447464" w:rsidRPr="00481CAE" w:rsidRDefault="00447464" w:rsidP="00481CAE">
      <w:pPr>
        <w:jc w:val="both"/>
        <w:rPr>
          <w:rFonts w:ascii="Times New Roman" w:hAnsi="Times New Roman" w:cs="Times New Roman"/>
          <w:b w:val="0"/>
        </w:rPr>
      </w:pPr>
    </w:p>
    <w:p w:rsidR="00447464" w:rsidRDefault="00447464" w:rsidP="00481CAE">
      <w:pPr>
        <w:jc w:val="both"/>
        <w:rPr>
          <w:rFonts w:ascii="Times New Roman" w:hAnsi="Times New Roman" w:cs="Times New Roman"/>
          <w:b w:val="0"/>
        </w:rPr>
      </w:pPr>
      <w:r w:rsidRPr="00481CAE">
        <w:rPr>
          <w:rFonts w:ascii="Times New Roman" w:hAnsi="Times New Roman" w:cs="Times New Roman"/>
        </w:rPr>
        <w:t>Variable Annuity:</w:t>
      </w:r>
      <w:r w:rsidRPr="00481CAE">
        <w:rPr>
          <w:rFonts w:ascii="Times New Roman" w:hAnsi="Times New Roman" w:cs="Times New Roman"/>
          <w:b w:val="0"/>
        </w:rPr>
        <w:t xml:space="preserve"> An annuity contract under which the insurance company promises to make payments beginning immediately or at some future date.</w:t>
      </w:r>
      <w:r>
        <w:rPr>
          <w:rFonts w:ascii="Times New Roman" w:hAnsi="Times New Roman" w:cs="Times New Roman"/>
          <w:b w:val="0"/>
        </w:rPr>
        <w:t xml:space="preserve"> </w:t>
      </w:r>
      <w:r w:rsidRPr="00481CAE">
        <w:rPr>
          <w:rFonts w:ascii="Times New Roman" w:hAnsi="Times New Roman" w:cs="Times New Roman"/>
          <w:b w:val="0"/>
        </w:rPr>
        <w:t>The value of the annuity and amount of the benefits paid by the insurance company will vary depending on the performance of the investment options.</w:t>
      </w:r>
    </w:p>
    <w:p w:rsidR="00447464" w:rsidRDefault="00447464" w:rsidP="00E67AA8">
      <w:pPr>
        <w:jc w:val="center"/>
        <w:rPr>
          <w:rFonts w:ascii="Times New Roman" w:hAnsi="Times New Roman" w:cs="Times New Roman"/>
          <w:u w:val="single"/>
        </w:rPr>
      </w:pPr>
    </w:p>
    <w:p w:rsidR="00447464" w:rsidDel="00FC3EA5" w:rsidRDefault="00447464" w:rsidP="00D60147">
      <w:pPr>
        <w:jc w:val="both"/>
        <w:rPr>
          <w:rFonts w:ascii="Times New Roman" w:hAnsi="Times New Roman" w:cs="Times New Roman"/>
          <w:b w:val="0"/>
        </w:rPr>
      </w:pPr>
      <w:bookmarkStart w:id="35" w:name="Annuity"/>
      <w:bookmarkEnd w:id="35"/>
    </w:p>
    <w:p w:rsidR="00447464" w:rsidRPr="00B85E18" w:rsidDel="00E23B07" w:rsidRDefault="00447464" w:rsidP="00D60147">
      <w:pPr>
        <w:jc w:val="both"/>
        <w:rPr>
          <w:rFonts w:ascii="Times New Roman" w:hAnsi="Times New Roman" w:cs="Times New Roman"/>
          <w:b w:val="0"/>
        </w:rPr>
      </w:pPr>
    </w:p>
    <w:p w:rsidR="00447464" w:rsidRPr="00884716" w:rsidRDefault="00447464" w:rsidP="00E67AA8">
      <w:pPr>
        <w:jc w:val="center"/>
        <w:rPr>
          <w:rFonts w:ascii="Times New Roman" w:hAnsi="Times New Roman" w:cs="Times New Roman"/>
        </w:rPr>
      </w:pPr>
    </w:p>
    <w:p w:rsidR="00447464" w:rsidRPr="00397B99" w:rsidRDefault="00447464" w:rsidP="00845E13">
      <w:pPr>
        <w:jc w:val="center"/>
        <w:rPr>
          <w:rFonts w:ascii="Times New Roman" w:hAnsi="Times New Roman" w:cs="Times New Roman"/>
          <w:lang w:val="it-IT"/>
        </w:rPr>
      </w:pPr>
      <w:r>
        <w:rPr>
          <w:rFonts w:ascii="Times New Roman" w:hAnsi="Times New Roman" w:cs="Times New Roman"/>
          <w:lang w:val="it-IT"/>
        </w:rPr>
        <w:br w:type="page"/>
      </w:r>
    </w:p>
    <w:p w:rsidR="00447464" w:rsidRPr="00100EEF" w:rsidRDefault="00447464" w:rsidP="003A78FF">
      <w:pPr>
        <w:jc w:val="center"/>
        <w:rPr>
          <w:rFonts w:ascii="Times New Roman Bold" w:hAnsi="Times New Roman Bold" w:cs="Times New Roman Bold"/>
          <w:bCs w:val="0"/>
          <w:sz w:val="28"/>
          <w:szCs w:val="28"/>
        </w:rPr>
      </w:pPr>
      <w:r w:rsidRPr="00100EEF">
        <w:rPr>
          <w:rFonts w:ascii="Times New Roman Bold" w:hAnsi="Times New Roman Bold" w:cs="Times New Roman"/>
          <w:bCs w:val="0"/>
          <w:sz w:val="28"/>
          <w:szCs w:val="28"/>
        </w:rPr>
        <w:t>APPENDIX</w:t>
      </w:r>
      <w:r w:rsidRPr="00100EEF">
        <w:rPr>
          <w:rFonts w:ascii="Times New Roman Bold" w:hAnsi="Times New Roman Bold" w:cs="Times New Roman Bold"/>
          <w:bCs w:val="0"/>
          <w:sz w:val="28"/>
          <w:szCs w:val="28"/>
        </w:rPr>
        <w:t xml:space="preserve"> </w:t>
      </w:r>
      <w:r>
        <w:rPr>
          <w:rFonts w:ascii="Times New Roman Bold" w:hAnsi="Times New Roman Bold" w:cs="Times New Roman Bold"/>
          <w:bCs w:val="0"/>
          <w:sz w:val="28"/>
          <w:szCs w:val="28"/>
        </w:rPr>
        <w:t>A</w:t>
      </w:r>
    </w:p>
    <w:p w:rsidR="00447464" w:rsidRPr="009220A2" w:rsidRDefault="00447464" w:rsidP="003A78FF">
      <w:pPr>
        <w:jc w:val="center"/>
        <w:rPr>
          <w:rFonts w:ascii="Times New Roman" w:hAnsi="Times New Roman" w:cs="Times New Roman"/>
          <w:b w:val="0"/>
          <w:bCs w:val="0"/>
          <w:sz w:val="28"/>
          <w:szCs w:val="28"/>
        </w:rPr>
      </w:pPr>
      <w:r w:rsidRPr="009220A2">
        <w:rPr>
          <w:rFonts w:ascii="Times New Roman" w:hAnsi="Times New Roman" w:cs="Times New Roman"/>
          <w:b w:val="0"/>
          <w:bCs w:val="0"/>
          <w:sz w:val="28"/>
          <w:szCs w:val="28"/>
        </w:rPr>
        <w:t>To</w:t>
      </w:r>
      <w:r>
        <w:rPr>
          <w:rFonts w:ascii="Times New Roman" w:hAnsi="Times New Roman" w:cs="Times New Roman"/>
          <w:b w:val="0"/>
          <w:bCs w:val="0"/>
          <w:sz w:val="28"/>
          <w:szCs w:val="28"/>
        </w:rPr>
        <w:t xml:space="preserve"> The</w:t>
      </w:r>
    </w:p>
    <w:p w:rsidR="00447464" w:rsidRPr="00041FB5" w:rsidRDefault="00447464" w:rsidP="00041FB5">
      <w:pPr>
        <w:pBdr>
          <w:bottom w:val="single" w:sz="12" w:space="1" w:color="auto"/>
        </w:pBdr>
        <w:jc w:val="center"/>
        <w:rPr>
          <w:rFonts w:ascii="Times New Roman Bold" w:hAnsi="Times New Roman Bold" w:cs="Times New Roman Bold"/>
          <w:smallCaps/>
          <w:sz w:val="28"/>
          <w:szCs w:val="28"/>
        </w:rPr>
      </w:pPr>
      <w:r>
        <w:rPr>
          <w:rFonts w:ascii="Times New Roman Bold" w:hAnsi="Times New Roman Bold" w:cs="Times New Roman Bold"/>
          <w:smallCaps/>
          <w:sz w:val="28"/>
          <w:szCs w:val="28"/>
        </w:rPr>
        <w:t>Sample Glossary of Investment-</w:t>
      </w:r>
      <w:r w:rsidRPr="00041FB5">
        <w:rPr>
          <w:rFonts w:ascii="Times New Roman Bold" w:hAnsi="Times New Roman Bold" w:cs="Times New Roman Bold"/>
          <w:smallCaps/>
          <w:sz w:val="28"/>
          <w:szCs w:val="28"/>
        </w:rPr>
        <w:t>Related Terms for</w:t>
      </w:r>
    </w:p>
    <w:p w:rsidR="00447464" w:rsidRDefault="00447464" w:rsidP="00041FB5">
      <w:pPr>
        <w:pBdr>
          <w:bottom w:val="single" w:sz="12" w:space="1" w:color="auto"/>
        </w:pBdr>
        <w:jc w:val="center"/>
        <w:rPr>
          <w:rFonts w:ascii="Times New Roman Bold" w:hAnsi="Times New Roman Bold" w:cs="Times New Roman Bold"/>
          <w:smallCaps/>
          <w:sz w:val="28"/>
          <w:szCs w:val="28"/>
        </w:rPr>
      </w:pPr>
      <w:r w:rsidRPr="00041FB5">
        <w:rPr>
          <w:rFonts w:ascii="Times New Roman Bold" w:hAnsi="Times New Roman Bold" w:cs="Times New Roman Bold"/>
          <w:smallCaps/>
          <w:sz w:val="28"/>
          <w:szCs w:val="28"/>
        </w:rPr>
        <w:t>Disclosures to Retirement Plan Participants</w:t>
      </w:r>
    </w:p>
    <w:p w:rsidR="00447464" w:rsidRDefault="00447464" w:rsidP="00041FB5">
      <w:pPr>
        <w:pBdr>
          <w:bottom w:val="single" w:sz="12" w:space="1" w:color="auto"/>
        </w:pBdr>
        <w:jc w:val="center"/>
        <w:rPr>
          <w:rFonts w:ascii="Times New Roman" w:hAnsi="Times New Roman" w:cs="Times New Roman"/>
          <w:b w:val="0"/>
          <w:bCs w:val="0"/>
          <w:sz w:val="28"/>
          <w:szCs w:val="28"/>
        </w:rPr>
      </w:pPr>
      <w:r w:rsidRPr="003A78FF">
        <w:rPr>
          <w:rFonts w:ascii="Times New Roman" w:hAnsi="Times New Roman" w:cs="Times New Roman"/>
          <w:b w:val="0"/>
          <w:bCs w:val="0"/>
          <w:sz w:val="28"/>
          <w:szCs w:val="28"/>
        </w:rPr>
        <w:t>(Version 1.0</w:t>
      </w:r>
      <w:r>
        <w:rPr>
          <w:rFonts w:ascii="Times New Roman" w:hAnsi="Times New Roman" w:cs="Times New Roman"/>
          <w:b w:val="0"/>
          <w:bCs w:val="0"/>
          <w:sz w:val="28"/>
          <w:szCs w:val="28"/>
        </w:rPr>
        <w:t>1</w:t>
      </w:r>
      <w:r w:rsidRPr="003A78FF">
        <w:rPr>
          <w:rFonts w:ascii="Times New Roman" w:hAnsi="Times New Roman" w:cs="Times New Roman"/>
          <w:b w:val="0"/>
          <w:bCs w:val="0"/>
          <w:sz w:val="28"/>
          <w:szCs w:val="28"/>
        </w:rPr>
        <w:t>)</w:t>
      </w:r>
    </w:p>
    <w:p w:rsidR="00447464" w:rsidRDefault="00447464" w:rsidP="003A78FF">
      <w:pPr>
        <w:pBdr>
          <w:bottom w:val="single" w:sz="12" w:space="1" w:color="auto"/>
        </w:pBdr>
        <w:jc w:val="center"/>
        <w:rPr>
          <w:rFonts w:ascii="Times New Roman Bold" w:hAnsi="Times New Roman Bold" w:cs="Times New Roman Bold"/>
        </w:rPr>
      </w:pPr>
    </w:p>
    <w:p w:rsidR="00447464" w:rsidRDefault="00447464" w:rsidP="003A78FF">
      <w:pPr>
        <w:jc w:val="center"/>
        <w:rPr>
          <w:rFonts w:ascii="Times New Roman Bold" w:hAnsi="Times New Roman Bold" w:cs="Times New Roman Bold"/>
          <w:u w:val="single"/>
        </w:rPr>
      </w:pPr>
    </w:p>
    <w:p w:rsidR="00447464" w:rsidRPr="003A78FF" w:rsidRDefault="00447464" w:rsidP="003A78FF">
      <w:pPr>
        <w:jc w:val="center"/>
        <w:rPr>
          <w:rFonts w:ascii="Times New Roman Bold" w:hAnsi="Times New Roman Bold" w:cs="Times New Roman Bold"/>
        </w:rPr>
      </w:pPr>
      <w:r w:rsidRPr="003A78FF">
        <w:rPr>
          <w:rFonts w:ascii="Times New Roman Bold" w:hAnsi="Times New Roman Bold" w:cs="Times New Roman Bold"/>
        </w:rPr>
        <w:t>VERSION CONTROL LOG</w:t>
      </w:r>
    </w:p>
    <w:p w:rsidR="00447464" w:rsidRPr="00543616" w:rsidRDefault="00447464" w:rsidP="003A78FF">
      <w:pPr>
        <w:jc w:val="center"/>
        <w:rPr>
          <w:rFonts w:ascii="Times New Roman Bold" w:hAnsi="Times New Roman Bold" w:cs="Times New Roman Bold"/>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423"/>
        <w:gridCol w:w="1621"/>
        <w:gridCol w:w="1261"/>
        <w:gridCol w:w="4246"/>
      </w:tblGrid>
      <w:tr w:rsidR="00447464" w:rsidRPr="00DD7D67" w:rsidTr="00F63B76">
        <w:trPr>
          <w:tblHeader/>
          <w:jc w:val="center"/>
        </w:trPr>
        <w:tc>
          <w:tcPr>
            <w:tcW w:w="1023" w:type="dxa"/>
            <w:shd w:val="clear" w:color="auto" w:fill="D9D9D9"/>
            <w:vAlign w:val="center"/>
          </w:tcPr>
          <w:p w:rsidR="00447464" w:rsidRPr="0065277D" w:rsidRDefault="00447464" w:rsidP="00E56B5E">
            <w:pPr>
              <w:jc w:val="center"/>
              <w:rPr>
                <w:rFonts w:ascii="Times New Roman" w:hAnsi="Times New Roman" w:cs="Times New Roman"/>
              </w:rPr>
            </w:pPr>
            <w:r w:rsidRPr="0065277D">
              <w:rPr>
                <w:rFonts w:ascii="Times New Roman" w:hAnsi="Times New Roman" w:cs="Times New Roman"/>
              </w:rPr>
              <w:t>Version</w:t>
            </w:r>
          </w:p>
        </w:tc>
        <w:tc>
          <w:tcPr>
            <w:tcW w:w="1423" w:type="dxa"/>
            <w:shd w:val="clear" w:color="auto" w:fill="D9D9D9"/>
            <w:vAlign w:val="center"/>
          </w:tcPr>
          <w:p w:rsidR="00447464" w:rsidRPr="0065277D" w:rsidRDefault="00447464" w:rsidP="00E56B5E">
            <w:pPr>
              <w:jc w:val="center"/>
              <w:rPr>
                <w:rFonts w:ascii="Times New Roman" w:hAnsi="Times New Roman" w:cs="Times New Roman"/>
              </w:rPr>
            </w:pPr>
            <w:r w:rsidRPr="0065277D">
              <w:rPr>
                <w:rFonts w:ascii="Times New Roman" w:hAnsi="Times New Roman" w:cs="Times New Roman"/>
              </w:rPr>
              <w:t>Description</w:t>
            </w:r>
          </w:p>
        </w:tc>
        <w:tc>
          <w:tcPr>
            <w:tcW w:w="1621" w:type="dxa"/>
            <w:shd w:val="clear" w:color="auto" w:fill="D9D9D9"/>
            <w:vAlign w:val="center"/>
          </w:tcPr>
          <w:p w:rsidR="00447464" w:rsidRPr="0065277D" w:rsidRDefault="00447464" w:rsidP="00E56B5E">
            <w:pPr>
              <w:jc w:val="center"/>
              <w:rPr>
                <w:rFonts w:ascii="Times New Roman" w:hAnsi="Times New Roman" w:cs="Times New Roman"/>
              </w:rPr>
            </w:pPr>
            <w:r w:rsidRPr="0065277D">
              <w:rPr>
                <w:rFonts w:ascii="Times New Roman" w:hAnsi="Times New Roman" w:cs="Times New Roman"/>
              </w:rPr>
              <w:t>Date Published</w:t>
            </w:r>
          </w:p>
        </w:tc>
        <w:tc>
          <w:tcPr>
            <w:tcW w:w="1261" w:type="dxa"/>
            <w:shd w:val="clear" w:color="auto" w:fill="D9D9D9"/>
            <w:vAlign w:val="center"/>
          </w:tcPr>
          <w:p w:rsidR="00447464" w:rsidRPr="0065277D" w:rsidRDefault="00447464" w:rsidP="00E56B5E">
            <w:pPr>
              <w:jc w:val="center"/>
              <w:rPr>
                <w:rFonts w:ascii="Times New Roman" w:hAnsi="Times New Roman" w:cs="Times New Roman"/>
              </w:rPr>
            </w:pPr>
            <w:r w:rsidRPr="0065277D">
              <w:rPr>
                <w:rFonts w:ascii="Times New Roman" w:hAnsi="Times New Roman" w:cs="Times New Roman"/>
              </w:rPr>
              <w:t>Page Reference</w:t>
            </w:r>
          </w:p>
        </w:tc>
        <w:tc>
          <w:tcPr>
            <w:tcW w:w="4246" w:type="dxa"/>
            <w:shd w:val="clear" w:color="auto" w:fill="D9D9D9"/>
            <w:vAlign w:val="center"/>
          </w:tcPr>
          <w:p w:rsidR="00447464" w:rsidRPr="0065277D" w:rsidRDefault="00447464" w:rsidP="00E56B5E">
            <w:pPr>
              <w:jc w:val="center"/>
              <w:rPr>
                <w:rFonts w:ascii="Times New Roman" w:hAnsi="Times New Roman" w:cs="Times New Roman"/>
              </w:rPr>
            </w:pPr>
            <w:r w:rsidRPr="0065277D">
              <w:rPr>
                <w:rFonts w:ascii="Times New Roman" w:hAnsi="Times New Roman" w:cs="Times New Roman"/>
              </w:rPr>
              <w:t>Description of Revisions</w:t>
            </w: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r w:rsidRPr="0065277D">
              <w:rPr>
                <w:rFonts w:ascii="Times New Roman" w:hAnsi="Times New Roman" w:cs="Times New Roman"/>
                <w:b w:val="0"/>
                <w:bCs w:val="0"/>
              </w:rPr>
              <w:t>1.00</w:t>
            </w:r>
          </w:p>
        </w:tc>
        <w:tc>
          <w:tcPr>
            <w:tcW w:w="1423" w:type="dxa"/>
            <w:vAlign w:val="center"/>
          </w:tcPr>
          <w:p w:rsidR="00447464" w:rsidRPr="0065277D" w:rsidRDefault="00447464" w:rsidP="00E56B5E">
            <w:pPr>
              <w:jc w:val="center"/>
              <w:rPr>
                <w:rFonts w:ascii="Times New Roman" w:hAnsi="Times New Roman" w:cs="Times New Roman"/>
                <w:b w:val="0"/>
                <w:bCs w:val="0"/>
              </w:rPr>
            </w:pPr>
            <w:r w:rsidRPr="0065277D">
              <w:rPr>
                <w:rFonts w:ascii="Times New Roman" w:hAnsi="Times New Roman" w:cs="Times New Roman"/>
                <w:b w:val="0"/>
                <w:bCs w:val="0"/>
              </w:rPr>
              <w:t>Initial version</w:t>
            </w:r>
          </w:p>
        </w:tc>
        <w:tc>
          <w:tcPr>
            <w:tcW w:w="1621" w:type="dxa"/>
            <w:vAlign w:val="center"/>
          </w:tcPr>
          <w:p w:rsidR="00447464" w:rsidRPr="0065277D" w:rsidRDefault="00447464" w:rsidP="001F362A">
            <w:pPr>
              <w:jc w:val="center"/>
              <w:rPr>
                <w:rFonts w:ascii="Times New Roman" w:hAnsi="Times New Roman" w:cs="Times New Roman"/>
                <w:b w:val="0"/>
                <w:bCs w:val="0"/>
              </w:rPr>
            </w:pPr>
            <w:r>
              <w:rPr>
                <w:rFonts w:ascii="Times New Roman" w:hAnsi="Times New Roman" w:cs="Times New Roman"/>
                <w:b w:val="0"/>
                <w:bCs w:val="0"/>
              </w:rPr>
              <w:t>December 19, 2011</w:t>
            </w:r>
          </w:p>
        </w:tc>
        <w:tc>
          <w:tcPr>
            <w:tcW w:w="1261" w:type="dxa"/>
            <w:vAlign w:val="center"/>
          </w:tcPr>
          <w:p w:rsidR="00447464" w:rsidRPr="0065277D" w:rsidRDefault="00447464" w:rsidP="00E56B5E">
            <w:pPr>
              <w:jc w:val="center"/>
              <w:rPr>
                <w:rFonts w:ascii="Times New Roman" w:hAnsi="Times New Roman" w:cs="Times New Roman"/>
                <w:b w:val="0"/>
                <w:bCs w:val="0"/>
              </w:rPr>
            </w:pPr>
            <w:r w:rsidRPr="0065277D">
              <w:rPr>
                <w:rFonts w:ascii="Times New Roman" w:hAnsi="Times New Roman" w:cs="Times New Roman"/>
                <w:b w:val="0"/>
                <w:bCs w:val="0"/>
              </w:rPr>
              <w:t>n/a</w:t>
            </w:r>
          </w:p>
        </w:tc>
        <w:tc>
          <w:tcPr>
            <w:tcW w:w="4246" w:type="dxa"/>
            <w:vAlign w:val="center"/>
          </w:tcPr>
          <w:p w:rsidR="00447464" w:rsidRPr="0065277D" w:rsidRDefault="00447464" w:rsidP="00D44CBB">
            <w:pPr>
              <w:rPr>
                <w:rFonts w:ascii="Times New Roman" w:hAnsi="Times New Roman" w:cs="Times New Roman"/>
                <w:b w:val="0"/>
                <w:bCs w:val="0"/>
              </w:rPr>
            </w:pPr>
          </w:p>
          <w:p w:rsidR="00447464" w:rsidRPr="0065277D" w:rsidRDefault="00447464" w:rsidP="00D44CBB">
            <w:pPr>
              <w:rPr>
                <w:rFonts w:ascii="Times New Roman" w:hAnsi="Times New Roman" w:cs="Times New Roman"/>
                <w:b w:val="0"/>
                <w:bCs w:val="0"/>
              </w:rPr>
            </w:pP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r>
              <w:rPr>
                <w:rFonts w:ascii="Times New Roman" w:hAnsi="Times New Roman" w:cs="Times New Roman"/>
                <w:b w:val="0"/>
                <w:bCs w:val="0"/>
              </w:rPr>
              <w:t>1.01</w:t>
            </w:r>
          </w:p>
        </w:tc>
        <w:tc>
          <w:tcPr>
            <w:tcW w:w="1423" w:type="dxa"/>
            <w:vAlign w:val="center"/>
          </w:tcPr>
          <w:p w:rsidR="00447464" w:rsidRPr="0065277D" w:rsidRDefault="00447464" w:rsidP="00E56B5E">
            <w:pPr>
              <w:jc w:val="center"/>
              <w:rPr>
                <w:rFonts w:ascii="Times New Roman" w:hAnsi="Times New Roman" w:cs="Times New Roman"/>
                <w:b w:val="0"/>
                <w:bCs w:val="0"/>
              </w:rPr>
            </w:pPr>
            <w:r>
              <w:rPr>
                <w:rFonts w:ascii="Times New Roman" w:hAnsi="Times New Roman" w:cs="Times New Roman"/>
                <w:b w:val="0"/>
                <w:bCs w:val="0"/>
              </w:rPr>
              <w:t>Revisions to certain definitions</w:t>
            </w:r>
          </w:p>
        </w:tc>
        <w:tc>
          <w:tcPr>
            <w:tcW w:w="1621" w:type="dxa"/>
            <w:vAlign w:val="center"/>
          </w:tcPr>
          <w:p w:rsidR="00447464" w:rsidRDefault="00447464" w:rsidP="001F362A">
            <w:pPr>
              <w:jc w:val="center"/>
              <w:rPr>
                <w:rFonts w:ascii="Times New Roman" w:hAnsi="Times New Roman" w:cs="Times New Roman"/>
                <w:b w:val="0"/>
                <w:bCs w:val="0"/>
              </w:rPr>
            </w:pPr>
            <w:r>
              <w:rPr>
                <w:rFonts w:ascii="Times New Roman" w:hAnsi="Times New Roman" w:cs="Times New Roman"/>
                <w:b w:val="0"/>
                <w:bCs w:val="0"/>
              </w:rPr>
              <w:t>April 26, 2012</w:t>
            </w:r>
          </w:p>
        </w:tc>
        <w:tc>
          <w:tcPr>
            <w:tcW w:w="1261" w:type="dxa"/>
            <w:vAlign w:val="center"/>
          </w:tcPr>
          <w:p w:rsidR="00447464" w:rsidRPr="0065277D" w:rsidRDefault="00447464" w:rsidP="00E56B5E">
            <w:pPr>
              <w:jc w:val="center"/>
              <w:rPr>
                <w:rFonts w:ascii="Times New Roman" w:hAnsi="Times New Roman" w:cs="Times New Roman"/>
                <w:b w:val="0"/>
                <w:bCs w:val="0"/>
              </w:rPr>
            </w:pPr>
            <w:r>
              <w:rPr>
                <w:rFonts w:ascii="Times New Roman" w:hAnsi="Times New Roman" w:cs="Times New Roman"/>
                <w:b w:val="0"/>
                <w:bCs w:val="0"/>
              </w:rPr>
              <w:t>Title page</w:t>
            </w:r>
          </w:p>
        </w:tc>
        <w:tc>
          <w:tcPr>
            <w:tcW w:w="4246" w:type="dxa"/>
            <w:vAlign w:val="center"/>
          </w:tcPr>
          <w:p w:rsidR="00447464" w:rsidRPr="0065277D" w:rsidRDefault="00447464" w:rsidP="006A5F8E">
            <w:pPr>
              <w:rPr>
                <w:rFonts w:ascii="Times New Roman" w:hAnsi="Times New Roman" w:cs="Times New Roman"/>
                <w:b w:val="0"/>
                <w:bCs w:val="0"/>
              </w:rPr>
            </w:pPr>
            <w:r>
              <w:rPr>
                <w:rFonts w:ascii="Times New Roman" w:hAnsi="Times New Roman" w:cs="Times New Roman"/>
                <w:b w:val="0"/>
                <w:bCs w:val="0"/>
              </w:rPr>
              <w:t xml:space="preserve">Conforming changes to title page and other pages to new version number and date. </w:t>
            </w: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p>
        </w:tc>
        <w:tc>
          <w:tcPr>
            <w:tcW w:w="1423" w:type="dxa"/>
            <w:vAlign w:val="center"/>
          </w:tcPr>
          <w:p w:rsidR="00447464" w:rsidRPr="0065277D" w:rsidRDefault="00447464" w:rsidP="00E56B5E">
            <w:pPr>
              <w:jc w:val="center"/>
              <w:rPr>
                <w:rFonts w:ascii="Times New Roman" w:hAnsi="Times New Roman" w:cs="Times New Roman"/>
                <w:b w:val="0"/>
                <w:bCs w:val="0"/>
              </w:rPr>
            </w:pPr>
          </w:p>
        </w:tc>
        <w:tc>
          <w:tcPr>
            <w:tcW w:w="1621" w:type="dxa"/>
            <w:vAlign w:val="center"/>
          </w:tcPr>
          <w:p w:rsidR="00447464" w:rsidRDefault="00447464" w:rsidP="001F362A">
            <w:pPr>
              <w:jc w:val="center"/>
              <w:rPr>
                <w:rFonts w:ascii="Times New Roman" w:hAnsi="Times New Roman" w:cs="Times New Roman"/>
                <w:b w:val="0"/>
                <w:bCs w:val="0"/>
              </w:rPr>
            </w:pPr>
          </w:p>
        </w:tc>
        <w:tc>
          <w:tcPr>
            <w:tcW w:w="1261" w:type="dxa"/>
            <w:vAlign w:val="center"/>
          </w:tcPr>
          <w:p w:rsidR="00447464" w:rsidRPr="0065277D" w:rsidRDefault="00447464" w:rsidP="00726E46">
            <w:pPr>
              <w:jc w:val="center"/>
              <w:rPr>
                <w:rFonts w:ascii="Times New Roman" w:hAnsi="Times New Roman" w:cs="Times New Roman"/>
                <w:b w:val="0"/>
                <w:bCs w:val="0"/>
              </w:rPr>
            </w:pPr>
            <w:r>
              <w:rPr>
                <w:rFonts w:ascii="Times New Roman" w:hAnsi="Times New Roman" w:cs="Times New Roman"/>
                <w:b w:val="0"/>
                <w:bCs w:val="0"/>
              </w:rPr>
              <w:t>i</w:t>
            </w:r>
          </w:p>
        </w:tc>
        <w:tc>
          <w:tcPr>
            <w:tcW w:w="4246" w:type="dxa"/>
            <w:vAlign w:val="center"/>
          </w:tcPr>
          <w:p w:rsidR="00447464" w:rsidRPr="0065277D" w:rsidRDefault="00447464" w:rsidP="00D44CBB">
            <w:pPr>
              <w:rPr>
                <w:rFonts w:ascii="Times New Roman" w:hAnsi="Times New Roman" w:cs="Times New Roman"/>
                <w:b w:val="0"/>
                <w:bCs w:val="0"/>
              </w:rPr>
            </w:pPr>
            <w:r>
              <w:rPr>
                <w:rFonts w:ascii="Times New Roman" w:hAnsi="Times New Roman" w:cs="Times New Roman"/>
                <w:b w:val="0"/>
                <w:bCs w:val="0"/>
              </w:rPr>
              <w:t xml:space="preserve">Addition of </w:t>
            </w:r>
            <w:r w:rsidRPr="006D553B">
              <w:rPr>
                <w:rFonts w:ascii="Times New Roman" w:hAnsi="Times New Roman" w:cs="Times New Roman"/>
                <w:b w:val="0"/>
              </w:rPr>
              <w:t>Summary of Changes Included in Version 1.01</w:t>
            </w: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p>
        </w:tc>
        <w:tc>
          <w:tcPr>
            <w:tcW w:w="1423" w:type="dxa"/>
            <w:vAlign w:val="center"/>
          </w:tcPr>
          <w:p w:rsidR="00447464" w:rsidRPr="0065277D" w:rsidRDefault="00447464" w:rsidP="00E56B5E">
            <w:pPr>
              <w:jc w:val="center"/>
              <w:rPr>
                <w:rFonts w:ascii="Times New Roman" w:hAnsi="Times New Roman" w:cs="Times New Roman"/>
                <w:b w:val="0"/>
                <w:bCs w:val="0"/>
              </w:rPr>
            </w:pPr>
          </w:p>
        </w:tc>
        <w:tc>
          <w:tcPr>
            <w:tcW w:w="1621" w:type="dxa"/>
            <w:vAlign w:val="center"/>
          </w:tcPr>
          <w:p w:rsidR="00447464" w:rsidRDefault="00447464" w:rsidP="001F362A">
            <w:pPr>
              <w:jc w:val="center"/>
              <w:rPr>
                <w:rFonts w:ascii="Times New Roman" w:hAnsi="Times New Roman" w:cs="Times New Roman"/>
                <w:b w:val="0"/>
                <w:bCs w:val="0"/>
              </w:rPr>
            </w:pPr>
          </w:p>
        </w:tc>
        <w:tc>
          <w:tcPr>
            <w:tcW w:w="1261" w:type="dxa"/>
            <w:vAlign w:val="center"/>
          </w:tcPr>
          <w:p w:rsidR="00447464" w:rsidRDefault="00447464" w:rsidP="00E56B5E">
            <w:pPr>
              <w:jc w:val="center"/>
              <w:rPr>
                <w:rFonts w:ascii="Times New Roman" w:hAnsi="Times New Roman" w:cs="Times New Roman"/>
                <w:b w:val="0"/>
                <w:bCs w:val="0"/>
              </w:rPr>
            </w:pPr>
            <w:r>
              <w:rPr>
                <w:rFonts w:ascii="Times New Roman" w:hAnsi="Times New Roman" w:cs="Times New Roman"/>
                <w:b w:val="0"/>
                <w:bCs w:val="0"/>
              </w:rPr>
              <w:t>1</w:t>
            </w:r>
          </w:p>
        </w:tc>
        <w:tc>
          <w:tcPr>
            <w:tcW w:w="4246" w:type="dxa"/>
            <w:vAlign w:val="center"/>
          </w:tcPr>
          <w:p w:rsidR="00447464" w:rsidRDefault="00447464" w:rsidP="006A5F8E">
            <w:pPr>
              <w:rPr>
                <w:rFonts w:ascii="Times New Roman" w:hAnsi="Times New Roman" w:cs="Times New Roman"/>
                <w:b w:val="0"/>
                <w:bCs w:val="0"/>
              </w:rPr>
            </w:pPr>
            <w:r>
              <w:rPr>
                <w:rFonts w:ascii="Times New Roman" w:hAnsi="Times New Roman" w:cs="Times New Roman"/>
                <w:b w:val="0"/>
                <w:bCs w:val="0"/>
              </w:rPr>
              <w:t xml:space="preserve">Modified references to “cash equivalents” in the definitions of “Asset Allocation” and “Asset Class” to include the reference to “cash alternatives.”  </w:t>
            </w: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p>
        </w:tc>
        <w:tc>
          <w:tcPr>
            <w:tcW w:w="1423" w:type="dxa"/>
            <w:vAlign w:val="center"/>
          </w:tcPr>
          <w:p w:rsidR="00447464" w:rsidRPr="0065277D" w:rsidRDefault="00447464" w:rsidP="00E56B5E">
            <w:pPr>
              <w:jc w:val="center"/>
              <w:rPr>
                <w:rFonts w:ascii="Times New Roman" w:hAnsi="Times New Roman" w:cs="Times New Roman"/>
                <w:b w:val="0"/>
                <w:bCs w:val="0"/>
              </w:rPr>
            </w:pPr>
          </w:p>
        </w:tc>
        <w:tc>
          <w:tcPr>
            <w:tcW w:w="1621" w:type="dxa"/>
            <w:vAlign w:val="center"/>
          </w:tcPr>
          <w:p w:rsidR="00447464" w:rsidRDefault="00447464" w:rsidP="001F362A">
            <w:pPr>
              <w:jc w:val="center"/>
              <w:rPr>
                <w:rFonts w:ascii="Times New Roman" w:hAnsi="Times New Roman" w:cs="Times New Roman"/>
                <w:b w:val="0"/>
                <w:bCs w:val="0"/>
              </w:rPr>
            </w:pPr>
          </w:p>
        </w:tc>
        <w:tc>
          <w:tcPr>
            <w:tcW w:w="1261" w:type="dxa"/>
            <w:vAlign w:val="center"/>
          </w:tcPr>
          <w:p w:rsidR="00447464" w:rsidRDefault="00447464" w:rsidP="00E56B5E">
            <w:pPr>
              <w:jc w:val="center"/>
              <w:rPr>
                <w:rFonts w:ascii="Times New Roman" w:hAnsi="Times New Roman" w:cs="Times New Roman"/>
                <w:b w:val="0"/>
                <w:bCs w:val="0"/>
              </w:rPr>
            </w:pPr>
            <w:r>
              <w:rPr>
                <w:rFonts w:ascii="Times New Roman" w:hAnsi="Times New Roman" w:cs="Times New Roman"/>
                <w:b w:val="0"/>
                <w:bCs w:val="0"/>
              </w:rPr>
              <w:t>2</w:t>
            </w:r>
          </w:p>
        </w:tc>
        <w:tc>
          <w:tcPr>
            <w:tcW w:w="4246" w:type="dxa"/>
            <w:vAlign w:val="center"/>
          </w:tcPr>
          <w:p w:rsidR="00447464" w:rsidRDefault="00447464" w:rsidP="006A5F8E">
            <w:pPr>
              <w:rPr>
                <w:rFonts w:ascii="Times New Roman" w:hAnsi="Times New Roman" w:cs="Times New Roman"/>
                <w:b w:val="0"/>
                <w:bCs w:val="0"/>
              </w:rPr>
            </w:pPr>
            <w:r>
              <w:rPr>
                <w:rFonts w:ascii="Times New Roman" w:hAnsi="Times New Roman" w:cs="Times New Roman"/>
                <w:b w:val="0"/>
                <w:bCs w:val="0"/>
              </w:rPr>
              <w:t>Included the term “Cash Alternative” in the listing for “Cash Equivalent.”</w:t>
            </w:r>
          </w:p>
        </w:tc>
      </w:tr>
      <w:tr w:rsidR="00447464" w:rsidRPr="00F60756" w:rsidTr="00F63B76">
        <w:trPr>
          <w:trHeight w:val="638"/>
          <w:jc w:val="center"/>
        </w:trPr>
        <w:tc>
          <w:tcPr>
            <w:tcW w:w="1023" w:type="dxa"/>
            <w:vAlign w:val="center"/>
          </w:tcPr>
          <w:p w:rsidR="00447464" w:rsidRPr="0065277D" w:rsidRDefault="00447464" w:rsidP="00E56B5E">
            <w:pPr>
              <w:jc w:val="center"/>
              <w:rPr>
                <w:rFonts w:ascii="Times New Roman" w:hAnsi="Times New Roman" w:cs="Times New Roman"/>
                <w:b w:val="0"/>
                <w:bCs w:val="0"/>
              </w:rPr>
            </w:pPr>
          </w:p>
        </w:tc>
        <w:tc>
          <w:tcPr>
            <w:tcW w:w="1423" w:type="dxa"/>
            <w:vAlign w:val="center"/>
          </w:tcPr>
          <w:p w:rsidR="00447464" w:rsidRPr="0065277D" w:rsidRDefault="00447464" w:rsidP="00E56B5E">
            <w:pPr>
              <w:jc w:val="center"/>
              <w:rPr>
                <w:rFonts w:ascii="Times New Roman" w:hAnsi="Times New Roman" w:cs="Times New Roman"/>
                <w:b w:val="0"/>
                <w:bCs w:val="0"/>
              </w:rPr>
            </w:pPr>
          </w:p>
        </w:tc>
        <w:tc>
          <w:tcPr>
            <w:tcW w:w="1621" w:type="dxa"/>
            <w:vAlign w:val="center"/>
          </w:tcPr>
          <w:p w:rsidR="00447464" w:rsidRDefault="00447464" w:rsidP="001F362A">
            <w:pPr>
              <w:jc w:val="center"/>
              <w:rPr>
                <w:rFonts w:ascii="Times New Roman" w:hAnsi="Times New Roman" w:cs="Times New Roman"/>
                <w:b w:val="0"/>
                <w:bCs w:val="0"/>
              </w:rPr>
            </w:pPr>
          </w:p>
        </w:tc>
        <w:tc>
          <w:tcPr>
            <w:tcW w:w="1261" w:type="dxa"/>
            <w:vAlign w:val="center"/>
          </w:tcPr>
          <w:p w:rsidR="00447464" w:rsidRDefault="00447464" w:rsidP="00E56B5E">
            <w:pPr>
              <w:jc w:val="center"/>
              <w:rPr>
                <w:rFonts w:ascii="Times New Roman" w:hAnsi="Times New Roman" w:cs="Times New Roman"/>
                <w:b w:val="0"/>
                <w:bCs w:val="0"/>
              </w:rPr>
            </w:pPr>
            <w:r>
              <w:rPr>
                <w:rFonts w:ascii="Times New Roman" w:hAnsi="Times New Roman" w:cs="Times New Roman"/>
                <w:b w:val="0"/>
                <w:bCs w:val="0"/>
              </w:rPr>
              <w:t>7</w:t>
            </w:r>
          </w:p>
        </w:tc>
        <w:tc>
          <w:tcPr>
            <w:tcW w:w="4246" w:type="dxa"/>
            <w:vAlign w:val="center"/>
          </w:tcPr>
          <w:p w:rsidR="00447464" w:rsidRDefault="00447464" w:rsidP="006A5F8E">
            <w:pPr>
              <w:rPr>
                <w:rFonts w:ascii="Times New Roman" w:hAnsi="Times New Roman" w:cs="Times New Roman"/>
                <w:b w:val="0"/>
                <w:bCs w:val="0"/>
              </w:rPr>
            </w:pPr>
            <w:r>
              <w:rPr>
                <w:rFonts w:ascii="Times New Roman" w:hAnsi="Times New Roman" w:cs="Times New Roman"/>
                <w:b w:val="0"/>
                <w:bCs w:val="0"/>
              </w:rPr>
              <w:t>Revised the definition of “</w:t>
            </w:r>
            <w:r w:rsidRPr="008A5280">
              <w:rPr>
                <w:rFonts w:ascii="Times New Roman" w:hAnsi="Times New Roman" w:cs="Times New Roman"/>
                <w:b w:val="0"/>
                <w:bCs w:val="0"/>
              </w:rPr>
              <w:t>Market Capitalization or Market Cap</w:t>
            </w:r>
            <w:r>
              <w:rPr>
                <w:rFonts w:ascii="Times New Roman" w:hAnsi="Times New Roman" w:cs="Times New Roman"/>
                <w:b w:val="0"/>
                <w:bCs w:val="0"/>
              </w:rPr>
              <w:t>.”</w:t>
            </w:r>
          </w:p>
        </w:tc>
      </w:tr>
    </w:tbl>
    <w:p w:rsidR="00447464" w:rsidRPr="00E86723"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rsidP="00726E46">
      <w:pPr>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p w:rsidR="00447464" w:rsidRDefault="00447464">
      <w:pPr>
        <w:ind w:left="-720"/>
        <w:jc w:val="both"/>
        <w:rPr>
          <w:rFonts w:ascii="Times New Roman" w:hAnsi="Times New Roman" w:cs="Times New Roman"/>
          <w:b w:val="0"/>
          <w:bCs w:val="0"/>
          <w:color w:val="000000"/>
          <w:sz w:val="20"/>
          <w:szCs w:val="20"/>
        </w:rPr>
      </w:pPr>
    </w:p>
    <w:sectPr w:rsidR="00447464" w:rsidSect="00397B99">
      <w:pgSz w:w="12240" w:h="15840" w:code="1"/>
      <w:pgMar w:top="576" w:right="1440" w:bottom="57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80" w:rsidRDefault="00BA4F80">
      <w:r>
        <w:separator/>
      </w:r>
    </w:p>
  </w:endnote>
  <w:endnote w:type="continuationSeparator" w:id="0">
    <w:p w:rsidR="00BA4F80" w:rsidRDefault="00BA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165A09" w:rsidP="00467BDA">
    <w:pPr>
      <w:pStyle w:val="Footer"/>
      <w:framePr w:wrap="around" w:vAnchor="text" w:hAnchor="margin" w:xAlign="right" w:y="1"/>
      <w:rPr>
        <w:rStyle w:val="PageNumber"/>
      </w:rPr>
    </w:pPr>
    <w:r>
      <w:rPr>
        <w:rStyle w:val="PageNumber"/>
      </w:rPr>
      <w:fldChar w:fldCharType="begin"/>
    </w:r>
    <w:r w:rsidR="00447464">
      <w:rPr>
        <w:rStyle w:val="PageNumber"/>
      </w:rPr>
      <w:instrText xml:space="preserve">PAGE  </w:instrText>
    </w:r>
    <w:r>
      <w:rPr>
        <w:rStyle w:val="PageNumber"/>
      </w:rPr>
      <w:fldChar w:fldCharType="end"/>
    </w:r>
  </w:p>
  <w:p w:rsidR="00447464" w:rsidRDefault="00447464" w:rsidP="005B282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Pr="002123B6" w:rsidRDefault="00165A09" w:rsidP="00D52A57">
    <w:pPr>
      <w:pStyle w:val="Footer"/>
      <w:framePr w:wrap="around" w:vAnchor="text" w:hAnchor="page" w:x="10621" w:y="47"/>
      <w:rPr>
        <w:rStyle w:val="PageNumber"/>
        <w:rFonts w:ascii="Times New Roman" w:hAnsi="Times New Roman"/>
        <w:b w:val="0"/>
        <w:sz w:val="22"/>
        <w:szCs w:val="22"/>
      </w:rPr>
    </w:pPr>
    <w:r w:rsidRPr="002123B6">
      <w:rPr>
        <w:rStyle w:val="PageNumber"/>
        <w:rFonts w:ascii="Times New Roman" w:hAnsi="Times New Roman"/>
        <w:b w:val="0"/>
        <w:sz w:val="22"/>
        <w:szCs w:val="22"/>
      </w:rPr>
      <w:fldChar w:fldCharType="begin"/>
    </w:r>
    <w:r w:rsidR="00447464" w:rsidRPr="002123B6">
      <w:rPr>
        <w:rStyle w:val="PageNumber"/>
        <w:rFonts w:ascii="Times New Roman" w:hAnsi="Times New Roman"/>
        <w:b w:val="0"/>
        <w:sz w:val="22"/>
        <w:szCs w:val="22"/>
      </w:rPr>
      <w:instrText xml:space="preserve">PAGE  </w:instrText>
    </w:r>
    <w:r w:rsidRPr="002123B6">
      <w:rPr>
        <w:rStyle w:val="PageNumber"/>
        <w:rFonts w:ascii="Times New Roman" w:hAnsi="Times New Roman"/>
        <w:b w:val="0"/>
        <w:sz w:val="22"/>
        <w:szCs w:val="22"/>
      </w:rPr>
      <w:fldChar w:fldCharType="separate"/>
    </w:r>
    <w:r w:rsidR="00447464">
      <w:rPr>
        <w:rStyle w:val="PageNumber"/>
        <w:rFonts w:ascii="Times New Roman" w:hAnsi="Times New Roman"/>
        <w:b w:val="0"/>
        <w:noProof/>
        <w:sz w:val="22"/>
        <w:szCs w:val="22"/>
      </w:rPr>
      <w:t>2</w:t>
    </w:r>
    <w:r w:rsidRPr="002123B6">
      <w:rPr>
        <w:rStyle w:val="PageNumber"/>
        <w:rFonts w:ascii="Times New Roman" w:hAnsi="Times New Roman"/>
        <w:b w:val="0"/>
        <w:sz w:val="22"/>
        <w:szCs w:val="22"/>
      </w:rPr>
      <w:fldChar w:fldCharType="end"/>
    </w:r>
  </w:p>
  <w:p w:rsidR="00447464" w:rsidRDefault="00447464">
    <w:pPr>
      <w:pStyle w:val="Footer"/>
      <w:ind w:right="360"/>
      <w:jc w:val="center"/>
      <w:rPr>
        <w:rFonts w:ascii="Times New Roman Bold" w:hAnsi="Times New Roman Bold" w:cs="Times New Roman Bold"/>
        <w:b w:val="0"/>
        <w:bCs w:val="0"/>
        <w:smallCaps/>
        <w:sz w:val="20"/>
        <w:szCs w:val="20"/>
      </w:rPr>
    </w:pPr>
  </w:p>
  <w:p w:rsidR="00447464" w:rsidRDefault="00447464">
    <w:pPr>
      <w:pStyle w:val="Footer"/>
      <w:ind w:right="360"/>
      <w:jc w:val="center"/>
    </w:pPr>
    <w:r>
      <w:rPr>
        <w:rFonts w:ascii="Times New Roman Bold" w:hAnsi="Times New Roman Bold" w:cs="Times New Roman Bold"/>
        <w:b w:val="0"/>
        <w:bCs w:val="0"/>
        <w:smallCaps/>
        <w:sz w:val="20"/>
        <w:szCs w:val="20"/>
      </w:rPr>
      <w:t xml:space="preserve">Shaping </w:t>
    </w:r>
    <w:smartTag w:uri="urn:schemas-microsoft-com:office:smarttags" w:element="country-region">
      <w:smartTag w:uri="urn:schemas-microsoft-com:office:smarttags" w:element="place">
        <w:r>
          <w:rPr>
            <w:rFonts w:ascii="Times New Roman Bold" w:hAnsi="Times New Roman Bold" w:cs="Times New Roman Bold"/>
            <w:b w:val="0"/>
            <w:bCs w:val="0"/>
            <w:smallCaps/>
            <w:sz w:val="20"/>
            <w:szCs w:val="20"/>
          </w:rPr>
          <w:t>America</w:t>
        </w:r>
      </w:smartTag>
    </w:smartTag>
    <w:r>
      <w:rPr>
        <w:rFonts w:ascii="Times New Roman Bold" w:hAnsi="Times New Roman Bold" w:cs="Times New Roman Bold"/>
        <w:b w:val="0"/>
        <w:bCs w:val="0"/>
        <w:smallCaps/>
        <w:sz w:val="20"/>
        <w:szCs w:val="20"/>
      </w:rPr>
      <w:t>’s Retirement</w:t>
    </w:r>
  </w:p>
  <w:p w:rsidR="00447464" w:rsidRDefault="00447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Pr="002F14DE" w:rsidRDefault="00447464" w:rsidP="002F14DE">
    <w:pPr>
      <w:pStyle w:val="Footer"/>
      <w:framePr w:wrap="around" w:vAnchor="text" w:hAnchor="margin" w:xAlign="right" w:y="1"/>
      <w:ind w:right="360"/>
      <w:rPr>
        <w:rStyle w:val="PageNumber"/>
        <w:rFonts w:ascii="Times New Roman" w:hAnsi="Times New Roman"/>
        <w:b w:val="0"/>
      </w:rPr>
    </w:pPr>
  </w:p>
  <w:p w:rsidR="00447464" w:rsidRPr="002944C4" w:rsidRDefault="00447464" w:rsidP="004B7CBA">
    <w:pPr>
      <w:pStyle w:val="Footer"/>
      <w:ind w:right="360"/>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Pr="00467BDA" w:rsidRDefault="00165A09" w:rsidP="005722F1">
    <w:pPr>
      <w:pStyle w:val="Footer"/>
      <w:framePr w:wrap="around" w:vAnchor="text" w:hAnchor="margin" w:xAlign="right" w:y="1"/>
      <w:rPr>
        <w:rStyle w:val="PageNumber"/>
        <w:rFonts w:ascii="Times New Roman" w:hAnsi="Times New Roman"/>
        <w:b w:val="0"/>
      </w:rPr>
    </w:pPr>
    <w:r w:rsidRPr="00467BDA">
      <w:rPr>
        <w:rStyle w:val="PageNumber"/>
        <w:rFonts w:ascii="Times New Roman" w:hAnsi="Times New Roman"/>
        <w:b w:val="0"/>
      </w:rPr>
      <w:fldChar w:fldCharType="begin"/>
    </w:r>
    <w:r w:rsidR="00447464" w:rsidRPr="00467BDA">
      <w:rPr>
        <w:rStyle w:val="PageNumber"/>
        <w:rFonts w:ascii="Times New Roman" w:hAnsi="Times New Roman"/>
        <w:b w:val="0"/>
      </w:rPr>
      <w:instrText xml:space="preserve">PAGE  </w:instrText>
    </w:r>
    <w:r w:rsidRPr="00467BDA">
      <w:rPr>
        <w:rStyle w:val="PageNumber"/>
        <w:rFonts w:ascii="Times New Roman" w:hAnsi="Times New Roman"/>
        <w:b w:val="0"/>
      </w:rPr>
      <w:fldChar w:fldCharType="separate"/>
    </w:r>
    <w:r w:rsidR="004E538D">
      <w:rPr>
        <w:rStyle w:val="PageNumber"/>
        <w:rFonts w:ascii="Times New Roman" w:hAnsi="Times New Roman"/>
        <w:b w:val="0"/>
        <w:noProof/>
      </w:rPr>
      <w:t>i</w:t>
    </w:r>
    <w:r w:rsidRPr="00467BDA">
      <w:rPr>
        <w:rStyle w:val="PageNumber"/>
        <w:rFonts w:ascii="Times New Roman" w:hAnsi="Times New Roman"/>
        <w:b w:val="0"/>
      </w:rPr>
      <w:fldChar w:fldCharType="end"/>
    </w:r>
  </w:p>
  <w:p w:rsidR="00447464" w:rsidRPr="00467BDA" w:rsidRDefault="00447464" w:rsidP="00467BDA">
    <w:pPr>
      <w:pStyle w:val="Footer"/>
      <w:framePr w:wrap="around" w:vAnchor="text" w:hAnchor="page" w:x="10261" w:y="5"/>
      <w:ind w:right="360"/>
      <w:rPr>
        <w:rStyle w:val="PageNumber"/>
        <w:rFonts w:ascii="Times New Roman" w:hAnsi="Times New Roman"/>
      </w:rPr>
    </w:pPr>
  </w:p>
  <w:p w:rsidR="00447464" w:rsidRDefault="00447464" w:rsidP="005B282B">
    <w:pPr>
      <w:pStyle w:val="Footer"/>
      <w:ind w:right="360"/>
      <w:jc w:val="right"/>
      <w:rPr>
        <w:rFonts w:ascii="Times New Roman Bold" w:hAnsi="Times New Roman Bold" w:cs="Times New Roman Bold"/>
        <w:b w:val="0"/>
        <w:bCs w:val="0"/>
        <w:smallCap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80" w:rsidRDefault="00BA4F80">
      <w:r>
        <w:separator/>
      </w:r>
    </w:p>
  </w:footnote>
  <w:footnote w:type="continuationSeparator" w:id="0">
    <w:p w:rsidR="00BA4F80" w:rsidRDefault="00BA4F80">
      <w:r>
        <w:continuationSeparator/>
      </w:r>
    </w:p>
  </w:footnote>
  <w:footnote w:id="1">
    <w:p w:rsidR="00447464" w:rsidRPr="00BA1BA8" w:rsidRDefault="00447464" w:rsidP="006A77DD">
      <w:pPr>
        <w:pStyle w:val="FootnoteText"/>
        <w:tabs>
          <w:tab w:val="left" w:pos="180"/>
        </w:tabs>
        <w:ind w:left="180" w:hanging="180"/>
        <w:jc w:val="both"/>
        <w:rPr>
          <w:rFonts w:ascii="Times New Roman" w:hAnsi="Times New Roman" w:cs="Times New Roman"/>
          <w:b w:val="0"/>
        </w:rPr>
      </w:pPr>
      <w:r w:rsidRPr="006A77DD">
        <w:rPr>
          <w:rStyle w:val="FootnoteReference"/>
          <w:rFonts w:ascii="Times New Roman" w:hAnsi="Times New Roman"/>
          <w:b w:val="0"/>
          <w:sz w:val="24"/>
          <w:szCs w:val="24"/>
        </w:rPr>
        <w:footnoteRef/>
      </w:r>
      <w:r>
        <w:t xml:space="preserve"> </w:t>
      </w:r>
      <w:r>
        <w:tab/>
      </w:r>
      <w:r>
        <w:rPr>
          <w:rFonts w:ascii="Times New Roman" w:hAnsi="Times New Roman" w:cs="Times New Roman"/>
          <w:b w:val="0"/>
        </w:rPr>
        <w:t>Members of T</w:t>
      </w:r>
      <w:r w:rsidRPr="00E67AA8">
        <w:rPr>
          <w:rFonts w:ascii="Times New Roman" w:hAnsi="Times New Roman" w:cs="Times New Roman"/>
          <w:b w:val="0"/>
        </w:rPr>
        <w:t>he SPARK Institute</w:t>
      </w:r>
      <w:r>
        <w:rPr>
          <w:rFonts w:ascii="Times New Roman" w:hAnsi="Times New Roman" w:cs="Times New Roman"/>
          <w:b w:val="0"/>
        </w:rPr>
        <w:t xml:space="preserve"> and the Investment Company Institute include </w:t>
      </w:r>
      <w:r w:rsidRPr="00E67AA8">
        <w:rPr>
          <w:rFonts w:ascii="Times New Roman" w:hAnsi="Times New Roman" w:cs="Times New Roman"/>
          <w:b w:val="0"/>
        </w:rPr>
        <w:t>a broad based cross section of retirement plan service providers and investment</w:t>
      </w:r>
      <w:r>
        <w:rPr>
          <w:rFonts w:ascii="Times New Roman" w:hAnsi="Times New Roman" w:cs="Times New Roman"/>
          <w:b w:val="0"/>
        </w:rPr>
        <w:t xml:space="preserve"> providers</w:t>
      </w:r>
      <w:r w:rsidRPr="00E67AA8">
        <w:rPr>
          <w:rFonts w:ascii="Times New Roman" w:hAnsi="Times New Roman" w:cs="Times New Roman"/>
          <w:b w:val="0"/>
        </w:rPr>
        <w:t>.</w:t>
      </w:r>
    </w:p>
    <w:p w:rsidR="00447464" w:rsidRDefault="00447464" w:rsidP="006A77DD">
      <w:pPr>
        <w:pStyle w:val="FootnoteText"/>
        <w:tabs>
          <w:tab w:val="left" w:pos="180"/>
        </w:tabs>
        <w:ind w:left="180" w:hanging="180"/>
        <w:jc w:val="both"/>
      </w:pPr>
    </w:p>
  </w:footnote>
  <w:footnote w:id="2">
    <w:p w:rsidR="00447464" w:rsidRDefault="00447464" w:rsidP="006A77DD">
      <w:pPr>
        <w:pStyle w:val="FootnoteText"/>
        <w:tabs>
          <w:tab w:val="left" w:pos="180"/>
        </w:tabs>
        <w:ind w:left="180" w:hanging="180"/>
        <w:rPr>
          <w:rFonts w:ascii="Times New Roman" w:hAnsi="Times New Roman" w:cs="Times New Roman"/>
          <w:b w:val="0"/>
        </w:rPr>
      </w:pPr>
      <w:r w:rsidRPr="006A77DD">
        <w:rPr>
          <w:rStyle w:val="FootnoteReference"/>
          <w:rFonts w:ascii="Times New Roman" w:hAnsi="Times New Roman"/>
          <w:b w:val="0"/>
          <w:sz w:val="24"/>
        </w:rPr>
        <w:footnoteRef/>
      </w:r>
      <w:r w:rsidRPr="006A77DD">
        <w:rPr>
          <w:b w:val="0"/>
          <w:sz w:val="24"/>
          <w:vertAlign w:val="superscript"/>
        </w:rPr>
        <w:t xml:space="preserve"> </w:t>
      </w:r>
      <w:r w:rsidRPr="00E13636">
        <w:rPr>
          <w:b w:val="0"/>
        </w:rPr>
        <w:tab/>
      </w:r>
      <w:r w:rsidRPr="00E13636">
        <w:rPr>
          <w:rFonts w:ascii="Times New Roman" w:hAnsi="Times New Roman" w:cs="Times New Roman"/>
          <w:b w:val="0"/>
        </w:rPr>
        <w:t>29 CFR § 2550.404a-5.</w:t>
      </w:r>
    </w:p>
    <w:p w:rsidR="00447464" w:rsidRDefault="00447464" w:rsidP="006A77DD">
      <w:pPr>
        <w:pStyle w:val="FootnoteText"/>
        <w:tabs>
          <w:tab w:val="left" w:pos="180"/>
        </w:tabs>
        <w:ind w:left="180" w:hanging="180"/>
      </w:pPr>
    </w:p>
  </w:footnote>
  <w:footnote w:id="3">
    <w:p w:rsidR="00447464" w:rsidRDefault="00447464" w:rsidP="006A77DD">
      <w:pPr>
        <w:pStyle w:val="FootnoteText"/>
        <w:tabs>
          <w:tab w:val="left" w:pos="180"/>
        </w:tabs>
        <w:ind w:left="180" w:hanging="180"/>
        <w:jc w:val="both"/>
      </w:pPr>
      <w:r w:rsidRPr="006A77DD">
        <w:rPr>
          <w:rStyle w:val="FootnoteReference"/>
          <w:rFonts w:ascii="Times New Roman" w:hAnsi="Times New Roman"/>
          <w:b w:val="0"/>
          <w:sz w:val="24"/>
          <w:szCs w:val="24"/>
        </w:rPr>
        <w:footnoteRef/>
      </w:r>
      <w:r w:rsidRPr="00FB0B74">
        <w:rPr>
          <w:rStyle w:val="FootnoteReference"/>
          <w:rFonts w:ascii="Times New Roman" w:hAnsi="Times New Roman"/>
          <w:b w:val="0"/>
          <w:sz w:val="24"/>
          <w:szCs w:val="24"/>
        </w:rPr>
        <w:t xml:space="preserve"> </w:t>
      </w:r>
      <w:r>
        <w:rPr>
          <w:rFonts w:ascii="Times New Roman" w:hAnsi="Times New Roman"/>
          <w:b w:val="0"/>
          <w:sz w:val="24"/>
          <w:szCs w:val="24"/>
        </w:rPr>
        <w:tab/>
      </w:r>
      <w:r w:rsidRPr="00FB0B74">
        <w:rPr>
          <w:rFonts w:ascii="Times New Roman" w:hAnsi="Times New Roman" w:cs="Times New Roman"/>
          <w:b w:val="0"/>
        </w:rPr>
        <w:t xml:space="preserve">The </w:t>
      </w:r>
      <w:r>
        <w:rPr>
          <w:rFonts w:ascii="Times New Roman" w:hAnsi="Times New Roman" w:cs="Times New Roman"/>
          <w:b w:val="0"/>
        </w:rPr>
        <w:t xml:space="preserve">terms for insurance </w:t>
      </w:r>
      <w:r w:rsidRPr="00FB0B74">
        <w:rPr>
          <w:rFonts w:ascii="Times New Roman" w:hAnsi="Times New Roman"/>
          <w:b w:val="0"/>
          <w:bCs w:val="0"/>
        </w:rPr>
        <w:t>products</w:t>
      </w:r>
      <w:r w:rsidRPr="00FB0B74">
        <w:rPr>
          <w:rFonts w:ascii="Times New Roman" w:hAnsi="Times New Roman" w:cs="Times New Roman"/>
          <w:b w:val="0"/>
        </w:rPr>
        <w:t xml:space="preserve"> are grouped separately</w:t>
      </w:r>
      <w:r>
        <w:rPr>
          <w:rFonts w:ascii="Times New Roman" w:hAnsi="Times New Roman" w:cs="Times New Roman"/>
          <w:b w:val="0"/>
        </w:rPr>
        <w:t xml:space="preserve"> for convenience in that not all plans</w:t>
      </w:r>
      <w:r w:rsidRPr="00FB0B74">
        <w:rPr>
          <w:rFonts w:ascii="Times New Roman" w:hAnsi="Times New Roman" w:cs="Times New Roman"/>
          <w:b w:val="0"/>
        </w:rPr>
        <w:t xml:space="preserve"> </w:t>
      </w:r>
      <w:r>
        <w:rPr>
          <w:rFonts w:ascii="Times New Roman" w:hAnsi="Times New Roman" w:cs="Times New Roman"/>
          <w:b w:val="0"/>
        </w:rPr>
        <w:t xml:space="preserve">offer these products.  Plans that offer insurance </w:t>
      </w:r>
      <w:r w:rsidRPr="00FB0B74">
        <w:rPr>
          <w:rFonts w:ascii="Times New Roman" w:hAnsi="Times New Roman"/>
          <w:b w:val="0"/>
          <w:bCs w:val="0"/>
        </w:rPr>
        <w:t>products</w:t>
      </w:r>
      <w:r w:rsidRPr="00FB0B74">
        <w:rPr>
          <w:rFonts w:ascii="Times New Roman" w:hAnsi="Times New Roman" w:cs="Times New Roman"/>
          <w:b w:val="0"/>
        </w:rPr>
        <w:t xml:space="preserve"> </w:t>
      </w:r>
      <w:r>
        <w:rPr>
          <w:rFonts w:ascii="Times New Roman" w:hAnsi="Times New Roman" w:cs="Times New Roman"/>
          <w:b w:val="0"/>
        </w:rPr>
        <w:t>might want to</w:t>
      </w:r>
      <w:r w:rsidRPr="00FB0B74">
        <w:rPr>
          <w:rFonts w:ascii="Times New Roman" w:hAnsi="Times New Roman" w:cs="Times New Roman"/>
          <w:b w:val="0"/>
        </w:rPr>
        <w:t xml:space="preserve"> combine</w:t>
      </w:r>
      <w:r>
        <w:rPr>
          <w:rFonts w:ascii="Times New Roman" w:hAnsi="Times New Roman" w:cs="Times New Roman"/>
          <w:b w:val="0"/>
        </w:rPr>
        <w:t xml:space="preserve"> both parts</w:t>
      </w:r>
      <w:r w:rsidRPr="00FB0B74">
        <w:rPr>
          <w:rFonts w:ascii="Times New Roman" w:hAnsi="Times New Roman" w:cs="Times New Roman"/>
          <w:b w:val="0"/>
        </w:rPr>
        <w:t xml:space="preserve"> into a single set of terms.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165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2704" o:spid="_x0000_s2049"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165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2705"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Pr="004B7CBA" w:rsidRDefault="00447464">
    <w:pPr>
      <w:pStyle w:val="Header"/>
      <w:jc w:val="center"/>
      <w:rPr>
        <w:sz w:val="28"/>
        <w:szCs w:val="28"/>
      </w:rPr>
    </w:pPr>
  </w:p>
  <w:p w:rsidR="00447464" w:rsidRPr="002944C4" w:rsidRDefault="00447464" w:rsidP="005A45BA">
    <w:pPr>
      <w:pStyle w:val="Heade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165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2707"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44746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64" w:rsidRDefault="00165A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2706"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4C5B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884C0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3D2E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586D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1DC98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94AA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E45A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165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AABB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262FCA"/>
    <w:lvl w:ilvl="0">
      <w:start w:val="1"/>
      <w:numFmt w:val="bullet"/>
      <w:lvlText w:val=""/>
      <w:lvlJc w:val="left"/>
      <w:pPr>
        <w:tabs>
          <w:tab w:val="num" w:pos="360"/>
        </w:tabs>
        <w:ind w:left="360" w:hanging="360"/>
      </w:pPr>
      <w:rPr>
        <w:rFonts w:ascii="Symbol" w:hAnsi="Symbol" w:hint="default"/>
      </w:rPr>
    </w:lvl>
  </w:abstractNum>
  <w:abstractNum w:abstractNumId="10">
    <w:nsid w:val="00143F51"/>
    <w:multiLevelType w:val="hybridMultilevel"/>
    <w:tmpl w:val="FAA8A05E"/>
    <w:lvl w:ilvl="0" w:tplc="CF082290">
      <w:start w:val="1"/>
      <w:numFmt w:val="upperLetter"/>
      <w:lvlText w:val="%1."/>
      <w:lvlJc w:val="left"/>
      <w:pPr>
        <w:tabs>
          <w:tab w:val="num" w:pos="900"/>
        </w:tabs>
        <w:ind w:left="900" w:hanging="360"/>
      </w:pPr>
      <w:rPr>
        <w:rFonts w:ascii="Times New Roman" w:hAnsi="Times New Roman" w:cs="Times New Roman" w:hint="default"/>
        <w:color w:val="auto"/>
        <w:sz w:val="24"/>
        <w:szCs w:val="24"/>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1">
    <w:nsid w:val="01A25107"/>
    <w:multiLevelType w:val="hybridMultilevel"/>
    <w:tmpl w:val="7C8A4FB4"/>
    <w:lvl w:ilvl="0" w:tplc="A5E4CF44">
      <w:start w:val="1"/>
      <w:numFmt w:val="decimal"/>
      <w:lvlText w:val="2.%1"/>
      <w:lvlJc w:val="left"/>
      <w:pPr>
        <w:tabs>
          <w:tab w:val="num" w:pos="1440"/>
        </w:tabs>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903673C"/>
    <w:multiLevelType w:val="multilevel"/>
    <w:tmpl w:val="51721356"/>
    <w:lvl w:ilvl="0">
      <w:start w:val="4"/>
      <w:numFmt w:val="decimal"/>
      <w:lvlText w:val="%1"/>
      <w:lvlJc w:val="left"/>
      <w:pPr>
        <w:tabs>
          <w:tab w:val="num" w:pos="360"/>
        </w:tabs>
        <w:ind w:left="180" w:hanging="180"/>
      </w:pPr>
      <w:rPr>
        <w:rFonts w:ascii="Times New Roman" w:hAnsi="Times New Roman" w:cs="Times New Roman" w:hint="default"/>
        <w:color w:val="000000"/>
        <w:u w:val="single"/>
      </w:rPr>
    </w:lvl>
    <w:lvl w:ilvl="1">
      <w:start w:val="14"/>
      <w:numFmt w:val="decimal"/>
      <w:lvlText w:val="%1.%2"/>
      <w:lvlJc w:val="left"/>
      <w:pPr>
        <w:tabs>
          <w:tab w:val="num" w:pos="360"/>
        </w:tabs>
        <w:ind w:left="180" w:hanging="180"/>
      </w:pPr>
      <w:rPr>
        <w:rFonts w:ascii="Times New Roman" w:hAnsi="Times New Roman" w:cs="Times New Roman" w:hint="default"/>
        <w:color w:val="000000"/>
        <w:u w:val="single"/>
      </w:rPr>
    </w:lvl>
    <w:lvl w:ilvl="2">
      <w:start w:val="1"/>
      <w:numFmt w:val="decimal"/>
      <w:lvlText w:val="%1.%2.%3"/>
      <w:lvlJc w:val="left"/>
      <w:pPr>
        <w:tabs>
          <w:tab w:val="num" w:pos="720"/>
        </w:tabs>
        <w:ind w:left="540" w:hanging="540"/>
      </w:pPr>
      <w:rPr>
        <w:rFonts w:ascii="Times New Roman" w:hAnsi="Times New Roman" w:cs="Times New Roman" w:hint="default"/>
        <w:color w:val="000000"/>
        <w:u w:val="single"/>
      </w:rPr>
    </w:lvl>
    <w:lvl w:ilvl="3">
      <w:start w:val="1"/>
      <w:numFmt w:val="decimal"/>
      <w:lvlText w:val="%1.%2.%3.%4"/>
      <w:lvlJc w:val="left"/>
      <w:pPr>
        <w:tabs>
          <w:tab w:val="num" w:pos="720"/>
        </w:tabs>
        <w:ind w:left="540" w:hanging="540"/>
      </w:pPr>
      <w:rPr>
        <w:rFonts w:ascii="Times New Roman" w:hAnsi="Times New Roman" w:cs="Times New Roman" w:hint="default"/>
        <w:color w:val="000000"/>
        <w:u w:val="single"/>
      </w:rPr>
    </w:lvl>
    <w:lvl w:ilvl="4">
      <w:start w:val="1"/>
      <w:numFmt w:val="decimal"/>
      <w:lvlText w:val="%1.%2.%3.%4.%5"/>
      <w:lvlJc w:val="left"/>
      <w:pPr>
        <w:tabs>
          <w:tab w:val="num" w:pos="720"/>
        </w:tabs>
        <w:ind w:left="540" w:hanging="540"/>
      </w:pPr>
      <w:rPr>
        <w:rFonts w:ascii="Times New Roman" w:hAnsi="Times New Roman" w:cs="Times New Roman" w:hint="default"/>
        <w:color w:val="000000"/>
        <w:u w:val="single"/>
      </w:rPr>
    </w:lvl>
    <w:lvl w:ilvl="5">
      <w:start w:val="1"/>
      <w:numFmt w:val="decimal"/>
      <w:lvlText w:val="%1.%2.%3.%4.%5.%6"/>
      <w:lvlJc w:val="left"/>
      <w:pPr>
        <w:tabs>
          <w:tab w:val="num" w:pos="1080"/>
        </w:tabs>
        <w:ind w:left="900" w:hanging="900"/>
      </w:pPr>
      <w:rPr>
        <w:rFonts w:ascii="Times New Roman" w:hAnsi="Times New Roman" w:cs="Times New Roman" w:hint="default"/>
        <w:color w:val="000000"/>
        <w:u w:val="single"/>
      </w:rPr>
    </w:lvl>
    <w:lvl w:ilvl="6">
      <w:start w:val="1"/>
      <w:numFmt w:val="decimal"/>
      <w:lvlText w:val="%1.%2.%3.%4.%5.%6.%7"/>
      <w:lvlJc w:val="left"/>
      <w:pPr>
        <w:tabs>
          <w:tab w:val="num" w:pos="1080"/>
        </w:tabs>
        <w:ind w:left="900" w:hanging="900"/>
      </w:pPr>
      <w:rPr>
        <w:rFonts w:ascii="Times New Roman" w:hAnsi="Times New Roman" w:cs="Times New Roman" w:hint="default"/>
        <w:color w:val="000000"/>
        <w:u w:val="single"/>
      </w:rPr>
    </w:lvl>
    <w:lvl w:ilvl="7">
      <w:start w:val="1"/>
      <w:numFmt w:val="decimal"/>
      <w:lvlText w:val="%1.%2.%3.%4.%5.%6.%7.%8"/>
      <w:lvlJc w:val="left"/>
      <w:pPr>
        <w:tabs>
          <w:tab w:val="num" w:pos="1440"/>
        </w:tabs>
        <w:ind w:left="1260" w:hanging="1260"/>
      </w:pPr>
      <w:rPr>
        <w:rFonts w:ascii="Times New Roman" w:hAnsi="Times New Roman" w:cs="Times New Roman" w:hint="default"/>
        <w:color w:val="000000"/>
        <w:u w:val="single"/>
      </w:rPr>
    </w:lvl>
    <w:lvl w:ilvl="8">
      <w:start w:val="1"/>
      <w:numFmt w:val="decimal"/>
      <w:lvlText w:val="%1.%2.%3.%4.%5.%6.%7.%8.%9"/>
      <w:lvlJc w:val="left"/>
      <w:pPr>
        <w:tabs>
          <w:tab w:val="num" w:pos="1440"/>
        </w:tabs>
        <w:ind w:left="1260" w:hanging="1260"/>
      </w:pPr>
      <w:rPr>
        <w:rFonts w:ascii="Times New Roman" w:hAnsi="Times New Roman" w:cs="Times New Roman" w:hint="default"/>
        <w:color w:val="000000"/>
        <w:u w:val="single"/>
      </w:rPr>
    </w:lvl>
  </w:abstractNum>
  <w:abstractNum w:abstractNumId="13">
    <w:nsid w:val="11A22A7A"/>
    <w:multiLevelType w:val="multilevel"/>
    <w:tmpl w:val="BDC22C48"/>
    <w:lvl w:ilvl="0">
      <w:start w:val="2"/>
      <w:numFmt w:val="decimal"/>
      <w:lvlText w:val="%1"/>
      <w:lvlJc w:val="left"/>
      <w:pPr>
        <w:tabs>
          <w:tab w:val="num" w:pos="360"/>
        </w:tabs>
        <w:ind w:left="360" w:hanging="360"/>
      </w:pPr>
      <w:rPr>
        <w:rFonts w:cs="Times New Roman" w:hint="default"/>
        <w:color w:val="000000"/>
      </w:rPr>
    </w:lvl>
    <w:lvl w:ilvl="1">
      <w:start w:val="6"/>
      <w:numFmt w:val="decimal"/>
      <w:lvlText w:val="%1.%2"/>
      <w:lvlJc w:val="left"/>
      <w:pPr>
        <w:tabs>
          <w:tab w:val="num" w:pos="360"/>
        </w:tabs>
        <w:ind w:left="360" w:hanging="360"/>
      </w:pPr>
      <w:rPr>
        <w:rFonts w:ascii="Times New Roman" w:hAnsi="Times New Roman" w:cs="Times New Roman" w:hint="default"/>
        <w:b w:val="0"/>
        <w:color w:val="000000"/>
        <w:u w:val="none"/>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14">
    <w:nsid w:val="1A295AF2"/>
    <w:multiLevelType w:val="hybridMultilevel"/>
    <w:tmpl w:val="8634ED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9FD787B"/>
    <w:multiLevelType w:val="hybridMultilevel"/>
    <w:tmpl w:val="0F1E685E"/>
    <w:lvl w:ilvl="0" w:tplc="FB323BA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2E1E001E"/>
    <w:multiLevelType w:val="multilevel"/>
    <w:tmpl w:val="9F027AB4"/>
    <w:lvl w:ilvl="0">
      <w:start w:val="1"/>
      <w:numFmt w:val="decimal"/>
      <w:lvlText w:val="%1."/>
      <w:lvlJc w:val="left"/>
      <w:pPr>
        <w:ind w:left="2160" w:hanging="360"/>
      </w:pPr>
      <w:rPr>
        <w:rFonts w:cs="Times New Roman"/>
        <w:b/>
        <w:bCs/>
      </w:rPr>
    </w:lvl>
    <w:lvl w:ilvl="1">
      <w:start w:val="2"/>
      <w:numFmt w:val="decimal"/>
      <w:isLgl/>
      <w:lvlText w:val="%1.%2"/>
      <w:lvlJc w:val="left"/>
      <w:pPr>
        <w:tabs>
          <w:tab w:val="num" w:pos="360"/>
        </w:tabs>
        <w:ind w:left="360" w:hanging="360"/>
      </w:pPr>
      <w:rPr>
        <w:rFonts w:cs="Times New Roman" w:hint="default"/>
        <w:u w:val="single"/>
      </w:rPr>
    </w:lvl>
    <w:lvl w:ilvl="2">
      <w:start w:val="1"/>
      <w:numFmt w:val="decimal"/>
      <w:isLgl/>
      <w:lvlText w:val="%1.%2.%3"/>
      <w:lvlJc w:val="left"/>
      <w:pPr>
        <w:tabs>
          <w:tab w:val="num" w:pos="2520"/>
        </w:tabs>
        <w:ind w:left="2520" w:hanging="720"/>
      </w:pPr>
      <w:rPr>
        <w:rFonts w:cs="Times New Roman" w:hint="default"/>
        <w:u w:val="none"/>
      </w:rPr>
    </w:lvl>
    <w:lvl w:ilvl="3">
      <w:start w:val="1"/>
      <w:numFmt w:val="decimal"/>
      <w:isLgl/>
      <w:lvlText w:val="%1.%2.%3.%4"/>
      <w:lvlJc w:val="left"/>
      <w:pPr>
        <w:tabs>
          <w:tab w:val="num" w:pos="2520"/>
        </w:tabs>
        <w:ind w:left="2520" w:hanging="720"/>
      </w:pPr>
      <w:rPr>
        <w:rFonts w:cs="Times New Roman" w:hint="default"/>
        <w:u w:val="none"/>
      </w:rPr>
    </w:lvl>
    <w:lvl w:ilvl="4">
      <w:start w:val="1"/>
      <w:numFmt w:val="decimal"/>
      <w:isLgl/>
      <w:lvlText w:val="%1.%2.%3.%4.%5"/>
      <w:lvlJc w:val="left"/>
      <w:pPr>
        <w:tabs>
          <w:tab w:val="num" w:pos="2880"/>
        </w:tabs>
        <w:ind w:left="2880" w:hanging="1080"/>
      </w:pPr>
      <w:rPr>
        <w:rFonts w:cs="Times New Roman" w:hint="default"/>
        <w:u w:val="none"/>
      </w:rPr>
    </w:lvl>
    <w:lvl w:ilvl="5">
      <w:start w:val="1"/>
      <w:numFmt w:val="decimal"/>
      <w:isLgl/>
      <w:lvlText w:val="%1.%2.%3.%4.%5.%6"/>
      <w:lvlJc w:val="left"/>
      <w:pPr>
        <w:tabs>
          <w:tab w:val="num" w:pos="2880"/>
        </w:tabs>
        <w:ind w:left="2880" w:hanging="1080"/>
      </w:pPr>
      <w:rPr>
        <w:rFonts w:cs="Times New Roman" w:hint="default"/>
        <w:u w:val="none"/>
      </w:rPr>
    </w:lvl>
    <w:lvl w:ilvl="6">
      <w:start w:val="1"/>
      <w:numFmt w:val="decimal"/>
      <w:isLgl/>
      <w:lvlText w:val="%1.%2.%3.%4.%5.%6.%7"/>
      <w:lvlJc w:val="left"/>
      <w:pPr>
        <w:tabs>
          <w:tab w:val="num" w:pos="3240"/>
        </w:tabs>
        <w:ind w:left="3240" w:hanging="1440"/>
      </w:pPr>
      <w:rPr>
        <w:rFonts w:cs="Times New Roman" w:hint="default"/>
        <w:u w:val="none"/>
      </w:rPr>
    </w:lvl>
    <w:lvl w:ilvl="7">
      <w:start w:val="1"/>
      <w:numFmt w:val="decimal"/>
      <w:isLgl/>
      <w:lvlText w:val="%1.%2.%3.%4.%5.%6.%7.%8"/>
      <w:lvlJc w:val="left"/>
      <w:pPr>
        <w:tabs>
          <w:tab w:val="num" w:pos="3240"/>
        </w:tabs>
        <w:ind w:left="3240" w:hanging="1440"/>
      </w:pPr>
      <w:rPr>
        <w:rFonts w:cs="Times New Roman" w:hint="default"/>
        <w:u w:val="none"/>
      </w:rPr>
    </w:lvl>
    <w:lvl w:ilvl="8">
      <w:start w:val="1"/>
      <w:numFmt w:val="decimal"/>
      <w:isLgl/>
      <w:lvlText w:val="%1.%2.%3.%4.%5.%6.%7.%8.%9"/>
      <w:lvlJc w:val="left"/>
      <w:pPr>
        <w:tabs>
          <w:tab w:val="num" w:pos="3600"/>
        </w:tabs>
        <w:ind w:left="3600" w:hanging="1800"/>
      </w:pPr>
      <w:rPr>
        <w:rFonts w:cs="Times New Roman" w:hint="default"/>
        <w:u w:val="none"/>
      </w:rPr>
    </w:lvl>
  </w:abstractNum>
  <w:abstractNum w:abstractNumId="17">
    <w:nsid w:val="30514906"/>
    <w:multiLevelType w:val="hybridMultilevel"/>
    <w:tmpl w:val="85C0A4DC"/>
    <w:lvl w:ilvl="0" w:tplc="409615D2">
      <w:start w:val="1"/>
      <w:numFmt w:val="decimal"/>
      <w:lvlText w:val="1.%1"/>
      <w:lvlJc w:val="left"/>
      <w:pPr>
        <w:tabs>
          <w:tab w:val="num" w:pos="1080"/>
        </w:tabs>
        <w:ind w:left="1080" w:hanging="360"/>
      </w:pPr>
      <w:rPr>
        <w:rFonts w:ascii="Times New Roman Bold" w:hAnsi="Times New Roman Bold" w:cs="Times New Roman Bold" w:hint="default"/>
        <w:b/>
        <w:bCs/>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320C2E1A"/>
    <w:multiLevelType w:val="hybridMultilevel"/>
    <w:tmpl w:val="A732AB6E"/>
    <w:lvl w:ilvl="0" w:tplc="4CA0ED5C">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9">
    <w:nsid w:val="3392351C"/>
    <w:multiLevelType w:val="hybridMultilevel"/>
    <w:tmpl w:val="3EA6C0B8"/>
    <w:lvl w:ilvl="0" w:tplc="461C0A0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42FE4AC5"/>
    <w:multiLevelType w:val="hybridMultilevel"/>
    <w:tmpl w:val="4BF6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E3497"/>
    <w:multiLevelType w:val="multilevel"/>
    <w:tmpl w:val="EF960148"/>
    <w:lvl w:ilvl="0">
      <w:start w:val="2"/>
      <w:numFmt w:val="decimal"/>
      <w:lvlText w:val="%1"/>
      <w:lvlJc w:val="left"/>
      <w:pPr>
        <w:tabs>
          <w:tab w:val="num" w:pos="360"/>
        </w:tabs>
        <w:ind w:left="360" w:hanging="360"/>
      </w:pPr>
      <w:rPr>
        <w:rFonts w:cs="Times New Roman" w:hint="default"/>
        <w:color w:val="000000"/>
      </w:rPr>
    </w:lvl>
    <w:lvl w:ilvl="1">
      <w:start w:val="6"/>
      <w:numFmt w:val="decimal"/>
      <w:lvlText w:val="%1.%2"/>
      <w:lvlJc w:val="left"/>
      <w:pPr>
        <w:tabs>
          <w:tab w:val="num" w:pos="360"/>
        </w:tabs>
        <w:ind w:left="360" w:hanging="360"/>
      </w:pPr>
      <w:rPr>
        <w:rFonts w:ascii="Times New Roman Bold" w:hAnsi="Times New Roman Bold" w:cs="Times New Roman" w:hint="default"/>
        <w:b/>
        <w:color w:val="000000"/>
        <w:u w:val="single"/>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2">
    <w:nsid w:val="4C841D86"/>
    <w:multiLevelType w:val="hybridMultilevel"/>
    <w:tmpl w:val="01E60C3A"/>
    <w:lvl w:ilvl="0" w:tplc="7F928D08">
      <w:start w:val="1"/>
      <w:numFmt w:val="upperLetter"/>
      <w:lvlText w:val="%1."/>
      <w:lvlJc w:val="left"/>
      <w:pPr>
        <w:tabs>
          <w:tab w:val="num" w:pos="360"/>
        </w:tabs>
        <w:ind w:left="360" w:hanging="360"/>
      </w:pPr>
      <w:rPr>
        <w:rFonts w:ascii="Times New Roman" w:hAnsi="Times New Roman" w:cs="Times New Roman" w:hint="default"/>
        <w:color w:val="auto"/>
        <w:sz w:val="24"/>
        <w:szCs w:val="24"/>
      </w:rPr>
    </w:lvl>
    <w:lvl w:ilvl="1" w:tplc="565CA262">
      <w:start w:val="11"/>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23">
    <w:nsid w:val="52327F17"/>
    <w:multiLevelType w:val="multilevel"/>
    <w:tmpl w:val="51885FBC"/>
    <w:lvl w:ilvl="0">
      <w:start w:val="2"/>
      <w:numFmt w:val="decimal"/>
      <w:lvlText w:val="%1"/>
      <w:lvlJc w:val="left"/>
      <w:pPr>
        <w:tabs>
          <w:tab w:val="num" w:pos="420"/>
        </w:tabs>
        <w:ind w:left="420" w:hanging="420"/>
      </w:pPr>
      <w:rPr>
        <w:rFonts w:cs="Times New Roman" w:hint="default"/>
        <w:color w:val="000000"/>
      </w:rPr>
    </w:lvl>
    <w:lvl w:ilvl="1">
      <w:start w:val="9"/>
      <w:numFmt w:val="decimal"/>
      <w:lvlText w:val="%1.%2"/>
      <w:lvlJc w:val="left"/>
      <w:pPr>
        <w:tabs>
          <w:tab w:val="num" w:pos="600"/>
        </w:tabs>
        <w:ind w:left="600" w:hanging="420"/>
      </w:pPr>
      <w:rPr>
        <w:rFonts w:cs="Times New Roman" w:hint="default"/>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4">
    <w:nsid w:val="5573595D"/>
    <w:multiLevelType w:val="multilevel"/>
    <w:tmpl w:val="0220D77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55D21600"/>
    <w:multiLevelType w:val="hybridMultilevel"/>
    <w:tmpl w:val="01E60C3A"/>
    <w:lvl w:ilvl="0" w:tplc="7F928D08">
      <w:start w:val="1"/>
      <w:numFmt w:val="upperLetter"/>
      <w:lvlText w:val="%1."/>
      <w:lvlJc w:val="left"/>
      <w:pPr>
        <w:tabs>
          <w:tab w:val="num" w:pos="2880"/>
        </w:tabs>
        <w:ind w:left="2880" w:hanging="360"/>
      </w:pPr>
      <w:rPr>
        <w:rFonts w:ascii="Times New Roman" w:hAnsi="Times New Roman" w:cs="Times New Roman" w:hint="default"/>
        <w:color w:val="auto"/>
        <w:sz w:val="24"/>
        <w:szCs w:val="24"/>
      </w:rPr>
    </w:lvl>
    <w:lvl w:ilvl="1" w:tplc="565CA262">
      <w:start w:val="11"/>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97D589E"/>
    <w:multiLevelType w:val="hybridMultilevel"/>
    <w:tmpl w:val="0526F6EE"/>
    <w:lvl w:ilvl="0" w:tplc="6FB283CE">
      <w:start w:val="86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63F33"/>
    <w:multiLevelType w:val="multilevel"/>
    <w:tmpl w:val="80FE2B7C"/>
    <w:lvl w:ilvl="0">
      <w:start w:val="3"/>
      <w:numFmt w:val="decimal"/>
      <w:lvlText w:val="%1"/>
      <w:lvlJc w:val="left"/>
      <w:pPr>
        <w:tabs>
          <w:tab w:val="num" w:pos="360"/>
        </w:tabs>
        <w:ind w:left="360" w:hanging="360"/>
      </w:pPr>
      <w:rPr>
        <w:rFonts w:cs="Times New Roman" w:hint="default"/>
        <w:color w:val="000000"/>
      </w:rPr>
    </w:lvl>
    <w:lvl w:ilvl="1">
      <w:start w:val="4"/>
      <w:numFmt w:val="decimal"/>
      <w:lvlText w:val="%1.%2"/>
      <w:lvlJc w:val="left"/>
      <w:pPr>
        <w:tabs>
          <w:tab w:val="num" w:pos="540"/>
        </w:tabs>
        <w:ind w:left="540" w:hanging="360"/>
      </w:pPr>
      <w:rPr>
        <w:rFonts w:cs="Times New Roman" w:hint="default"/>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8">
    <w:nsid w:val="5AC92C25"/>
    <w:multiLevelType w:val="hybridMultilevel"/>
    <w:tmpl w:val="10E4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A20B97"/>
    <w:multiLevelType w:val="hybridMultilevel"/>
    <w:tmpl w:val="73307DAE"/>
    <w:lvl w:ilvl="0" w:tplc="7E2A9DDC">
      <w:start w:val="1"/>
      <w:numFmt w:val="decimal"/>
      <w:lvlText w:val="1.%1"/>
      <w:lvlJc w:val="left"/>
      <w:pPr>
        <w:tabs>
          <w:tab w:val="num" w:pos="720"/>
        </w:tabs>
        <w:ind w:left="720" w:hanging="360"/>
      </w:pPr>
      <w:rPr>
        <w:rFonts w:cs="Times New Roman"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61302E87"/>
    <w:multiLevelType w:val="multilevel"/>
    <w:tmpl w:val="3BB055B6"/>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540"/>
        </w:tabs>
        <w:ind w:left="540" w:hanging="360"/>
      </w:pPr>
      <w:rPr>
        <w:rFonts w:cs="Times New Roman" w:hint="default"/>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31">
    <w:nsid w:val="6AB864BC"/>
    <w:multiLevelType w:val="multilevel"/>
    <w:tmpl w:val="3128357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val="0"/>
        <w:color w:val="000000"/>
        <w:u w:val="none"/>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32">
    <w:nsid w:val="6B700425"/>
    <w:multiLevelType w:val="multilevel"/>
    <w:tmpl w:val="46B022AC"/>
    <w:lvl w:ilvl="0">
      <w:start w:val="3"/>
      <w:numFmt w:val="decimal"/>
      <w:lvlText w:val="%1"/>
      <w:lvlJc w:val="left"/>
      <w:pPr>
        <w:tabs>
          <w:tab w:val="num" w:pos="360"/>
        </w:tabs>
        <w:ind w:left="360" w:hanging="360"/>
      </w:pPr>
      <w:rPr>
        <w:rFonts w:cs="Times New Roman" w:hint="default"/>
        <w:color w:val="000000"/>
      </w:rPr>
    </w:lvl>
    <w:lvl w:ilvl="1">
      <w:start w:val="7"/>
      <w:numFmt w:val="decimal"/>
      <w:lvlText w:val="%1.%2"/>
      <w:lvlJc w:val="left"/>
      <w:pPr>
        <w:tabs>
          <w:tab w:val="num" w:pos="540"/>
        </w:tabs>
        <w:ind w:left="540" w:hanging="360"/>
      </w:pPr>
      <w:rPr>
        <w:rFonts w:cs="Times New Roman" w:hint="default"/>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33">
    <w:nsid w:val="703F6A9B"/>
    <w:multiLevelType w:val="multilevel"/>
    <w:tmpl w:val="0DA6ED08"/>
    <w:lvl w:ilvl="0">
      <w:start w:val="4"/>
      <w:numFmt w:val="decimal"/>
      <w:lvlText w:val="%1"/>
      <w:lvlJc w:val="left"/>
      <w:pPr>
        <w:tabs>
          <w:tab w:val="num" w:pos="360"/>
        </w:tabs>
        <w:ind w:left="180" w:hanging="180"/>
      </w:pPr>
      <w:rPr>
        <w:rFonts w:cs="Times New Roman" w:hint="default"/>
        <w:b/>
        <w:color w:val="000000"/>
        <w:u w:val="single"/>
      </w:rPr>
    </w:lvl>
    <w:lvl w:ilvl="1">
      <w:start w:val="14"/>
      <w:numFmt w:val="decimal"/>
      <w:lvlText w:val="%1.%2"/>
      <w:lvlJc w:val="left"/>
      <w:pPr>
        <w:tabs>
          <w:tab w:val="num" w:pos="360"/>
        </w:tabs>
        <w:ind w:left="180" w:hanging="180"/>
      </w:pPr>
      <w:rPr>
        <w:rFonts w:cs="Times New Roman" w:hint="default"/>
        <w:b/>
        <w:color w:val="000000"/>
        <w:u w:val="single"/>
      </w:rPr>
    </w:lvl>
    <w:lvl w:ilvl="2">
      <w:start w:val="1"/>
      <w:numFmt w:val="decimal"/>
      <w:lvlText w:val="%1.%2.%3"/>
      <w:lvlJc w:val="left"/>
      <w:pPr>
        <w:tabs>
          <w:tab w:val="num" w:pos="720"/>
        </w:tabs>
        <w:ind w:left="540" w:hanging="540"/>
      </w:pPr>
      <w:rPr>
        <w:rFonts w:cs="Times New Roman" w:hint="default"/>
        <w:b/>
        <w:color w:val="000000"/>
        <w:u w:val="single"/>
      </w:rPr>
    </w:lvl>
    <w:lvl w:ilvl="3">
      <w:start w:val="1"/>
      <w:numFmt w:val="decimal"/>
      <w:lvlText w:val="%1.%2.%3.%4"/>
      <w:lvlJc w:val="left"/>
      <w:pPr>
        <w:tabs>
          <w:tab w:val="num" w:pos="720"/>
        </w:tabs>
        <w:ind w:left="540" w:hanging="540"/>
      </w:pPr>
      <w:rPr>
        <w:rFonts w:cs="Times New Roman" w:hint="default"/>
        <w:b/>
        <w:color w:val="000000"/>
        <w:u w:val="single"/>
      </w:rPr>
    </w:lvl>
    <w:lvl w:ilvl="4">
      <w:start w:val="1"/>
      <w:numFmt w:val="decimal"/>
      <w:lvlText w:val="%1.%2.%3.%4.%5"/>
      <w:lvlJc w:val="left"/>
      <w:pPr>
        <w:tabs>
          <w:tab w:val="num" w:pos="720"/>
        </w:tabs>
        <w:ind w:left="540" w:hanging="540"/>
      </w:pPr>
      <w:rPr>
        <w:rFonts w:cs="Times New Roman" w:hint="default"/>
        <w:b/>
        <w:color w:val="000000"/>
        <w:u w:val="single"/>
      </w:rPr>
    </w:lvl>
    <w:lvl w:ilvl="5">
      <w:start w:val="1"/>
      <w:numFmt w:val="decimal"/>
      <w:lvlText w:val="%1.%2.%3.%4.%5.%6"/>
      <w:lvlJc w:val="left"/>
      <w:pPr>
        <w:tabs>
          <w:tab w:val="num" w:pos="1080"/>
        </w:tabs>
        <w:ind w:left="900" w:hanging="900"/>
      </w:pPr>
      <w:rPr>
        <w:rFonts w:cs="Times New Roman" w:hint="default"/>
        <w:b/>
        <w:color w:val="000000"/>
        <w:u w:val="single"/>
      </w:rPr>
    </w:lvl>
    <w:lvl w:ilvl="6">
      <w:start w:val="1"/>
      <w:numFmt w:val="decimal"/>
      <w:lvlText w:val="%1.%2.%3.%4.%5.%6.%7"/>
      <w:lvlJc w:val="left"/>
      <w:pPr>
        <w:tabs>
          <w:tab w:val="num" w:pos="1080"/>
        </w:tabs>
        <w:ind w:left="900" w:hanging="900"/>
      </w:pPr>
      <w:rPr>
        <w:rFonts w:cs="Times New Roman" w:hint="default"/>
        <w:b/>
        <w:color w:val="000000"/>
        <w:u w:val="single"/>
      </w:rPr>
    </w:lvl>
    <w:lvl w:ilvl="7">
      <w:start w:val="1"/>
      <w:numFmt w:val="decimal"/>
      <w:lvlText w:val="%1.%2.%3.%4.%5.%6.%7.%8"/>
      <w:lvlJc w:val="left"/>
      <w:pPr>
        <w:tabs>
          <w:tab w:val="num" w:pos="1440"/>
        </w:tabs>
        <w:ind w:left="1260" w:hanging="1260"/>
      </w:pPr>
      <w:rPr>
        <w:rFonts w:cs="Times New Roman" w:hint="default"/>
        <w:b/>
        <w:color w:val="000000"/>
        <w:u w:val="single"/>
      </w:rPr>
    </w:lvl>
    <w:lvl w:ilvl="8">
      <w:start w:val="1"/>
      <w:numFmt w:val="decimal"/>
      <w:lvlText w:val="%1.%2.%3.%4.%5.%6.%7.%8.%9"/>
      <w:lvlJc w:val="left"/>
      <w:pPr>
        <w:tabs>
          <w:tab w:val="num" w:pos="1440"/>
        </w:tabs>
        <w:ind w:left="1260" w:hanging="1260"/>
      </w:pPr>
      <w:rPr>
        <w:rFonts w:cs="Times New Roman" w:hint="default"/>
        <w:b/>
        <w:color w:val="000000"/>
        <w:u w:val="single"/>
      </w:rPr>
    </w:lvl>
  </w:abstractNum>
  <w:abstractNum w:abstractNumId="34">
    <w:nsid w:val="75062DA7"/>
    <w:multiLevelType w:val="hybridMultilevel"/>
    <w:tmpl w:val="0220D77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77930FE0"/>
    <w:multiLevelType w:val="multilevel"/>
    <w:tmpl w:val="6EC638DC"/>
    <w:lvl w:ilvl="0">
      <w:start w:val="4"/>
      <w:numFmt w:val="decimal"/>
      <w:lvlText w:val="%1"/>
      <w:lvlJc w:val="left"/>
      <w:pPr>
        <w:tabs>
          <w:tab w:val="num" w:pos="360"/>
        </w:tabs>
        <w:ind w:left="180" w:hanging="180"/>
      </w:pPr>
      <w:rPr>
        <w:rFonts w:cs="Times New Roman" w:hint="default"/>
        <w:color w:val="000000"/>
      </w:rPr>
    </w:lvl>
    <w:lvl w:ilvl="1">
      <w:start w:val="14"/>
      <w:numFmt w:val="decimal"/>
      <w:lvlText w:val="%1.%2"/>
      <w:lvlJc w:val="left"/>
      <w:pPr>
        <w:tabs>
          <w:tab w:val="num" w:pos="180"/>
        </w:tabs>
        <w:ind w:hanging="180"/>
      </w:pPr>
      <w:rPr>
        <w:rFonts w:cs="Times New Roman" w:hint="default"/>
        <w:color w:val="000000"/>
      </w:rPr>
    </w:lvl>
    <w:lvl w:ilvl="2">
      <w:start w:val="1"/>
      <w:numFmt w:val="decimal"/>
      <w:lvlText w:val="%1.%2.%3"/>
      <w:lvlJc w:val="left"/>
      <w:pPr>
        <w:tabs>
          <w:tab w:val="num" w:pos="360"/>
        </w:tabs>
        <w:ind w:left="180" w:hanging="540"/>
      </w:pPr>
      <w:rPr>
        <w:rFonts w:cs="Times New Roman" w:hint="default"/>
        <w:color w:val="000000"/>
      </w:rPr>
    </w:lvl>
    <w:lvl w:ilvl="3">
      <w:start w:val="1"/>
      <w:numFmt w:val="decimal"/>
      <w:lvlText w:val="%1.%2.%3.%4"/>
      <w:lvlJc w:val="left"/>
      <w:pPr>
        <w:tabs>
          <w:tab w:val="num" w:pos="180"/>
        </w:tabs>
        <w:ind w:hanging="540"/>
      </w:pPr>
      <w:rPr>
        <w:rFonts w:cs="Times New Roman" w:hint="default"/>
        <w:color w:val="000000"/>
      </w:rPr>
    </w:lvl>
    <w:lvl w:ilvl="4">
      <w:start w:val="1"/>
      <w:numFmt w:val="decimal"/>
      <w:lvlText w:val="%1.%2.%3.%4.%5"/>
      <w:lvlJc w:val="left"/>
      <w:pPr>
        <w:tabs>
          <w:tab w:val="num" w:pos="0"/>
        </w:tabs>
        <w:ind w:left="-180" w:hanging="540"/>
      </w:pPr>
      <w:rPr>
        <w:rFonts w:cs="Times New Roman" w:hint="default"/>
        <w:color w:val="000000"/>
      </w:rPr>
    </w:lvl>
    <w:lvl w:ilvl="5">
      <w:start w:val="1"/>
      <w:numFmt w:val="decimal"/>
      <w:lvlText w:val="%1.%2.%3.%4.%5.%6"/>
      <w:lvlJc w:val="left"/>
      <w:pPr>
        <w:tabs>
          <w:tab w:val="num" w:pos="180"/>
        </w:tabs>
        <w:ind w:hanging="900"/>
      </w:pPr>
      <w:rPr>
        <w:rFonts w:cs="Times New Roman" w:hint="default"/>
        <w:color w:val="000000"/>
      </w:rPr>
    </w:lvl>
    <w:lvl w:ilvl="6">
      <w:start w:val="1"/>
      <w:numFmt w:val="decimal"/>
      <w:lvlText w:val="%1.%2.%3.%4.%5.%6.%7"/>
      <w:lvlJc w:val="left"/>
      <w:pPr>
        <w:tabs>
          <w:tab w:val="num" w:pos="0"/>
        </w:tabs>
        <w:ind w:left="-180" w:hanging="900"/>
      </w:pPr>
      <w:rPr>
        <w:rFonts w:cs="Times New Roman" w:hint="default"/>
        <w:color w:val="000000"/>
      </w:rPr>
    </w:lvl>
    <w:lvl w:ilvl="7">
      <w:start w:val="1"/>
      <w:numFmt w:val="decimal"/>
      <w:lvlText w:val="%1.%2.%3.%4.%5.%6.%7.%8"/>
      <w:lvlJc w:val="left"/>
      <w:pPr>
        <w:tabs>
          <w:tab w:val="num" w:pos="180"/>
        </w:tabs>
        <w:ind w:hanging="1260"/>
      </w:pPr>
      <w:rPr>
        <w:rFonts w:cs="Times New Roman" w:hint="default"/>
        <w:color w:val="000000"/>
      </w:rPr>
    </w:lvl>
    <w:lvl w:ilvl="8">
      <w:start w:val="1"/>
      <w:numFmt w:val="decimal"/>
      <w:lvlText w:val="%1.%2.%3.%4.%5.%6.%7.%8.%9"/>
      <w:lvlJc w:val="left"/>
      <w:pPr>
        <w:tabs>
          <w:tab w:val="num" w:pos="0"/>
        </w:tabs>
        <w:ind w:left="-180" w:hanging="1260"/>
      </w:pPr>
      <w:rPr>
        <w:rFonts w:cs="Times New Roman" w:hint="default"/>
        <w:color w:val="000000"/>
      </w:rPr>
    </w:lvl>
  </w:abstractNum>
  <w:num w:numId="1">
    <w:abstractNumId w:val="29"/>
  </w:num>
  <w:num w:numId="2">
    <w:abstractNumId w:val="17"/>
  </w:num>
  <w:num w:numId="3">
    <w:abstractNumId w:val="10"/>
  </w:num>
  <w:num w:numId="4">
    <w:abstractNumId w:val="25"/>
  </w:num>
  <w:num w:numId="5">
    <w:abstractNumId w:val="18"/>
  </w:num>
  <w:num w:numId="6">
    <w:abstractNumId w:val="19"/>
  </w:num>
  <w:num w:numId="7">
    <w:abstractNumId w:val="11"/>
  </w:num>
  <w:num w:numId="8">
    <w:abstractNumId w:val="23"/>
  </w:num>
  <w:num w:numId="9">
    <w:abstractNumId w:val="30"/>
  </w:num>
  <w:num w:numId="10">
    <w:abstractNumId w:val="27"/>
  </w:num>
  <w:num w:numId="11">
    <w:abstractNumId w:val="32"/>
  </w:num>
  <w:num w:numId="12">
    <w:abstractNumId w:val="31"/>
  </w:num>
  <w:num w:numId="13">
    <w:abstractNumId w:val="13"/>
  </w:num>
  <w:num w:numId="14">
    <w:abstractNumId w:val="16"/>
  </w:num>
  <w:num w:numId="15">
    <w:abstractNumId w:val="15"/>
  </w:num>
  <w:num w:numId="16">
    <w:abstractNumId w:val="28"/>
  </w:num>
  <w:num w:numId="17">
    <w:abstractNumId w:val="34"/>
  </w:num>
  <w:num w:numId="18">
    <w:abstractNumId w:val="24"/>
  </w:num>
  <w:num w:numId="19">
    <w:abstractNumId w:val="14"/>
  </w:num>
  <w:num w:numId="20">
    <w:abstractNumId w:val="20"/>
  </w:num>
  <w:num w:numId="21">
    <w:abstractNumId w:val="21"/>
  </w:num>
  <w:num w:numId="22">
    <w:abstractNumId w:val="35"/>
  </w:num>
  <w:num w:numId="23">
    <w:abstractNumId w:val="33"/>
  </w:num>
  <w:num w:numId="24">
    <w:abstractNumId w:val="12"/>
  </w:num>
  <w:num w:numId="25">
    <w:abstractNumId w:val="26"/>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95070"/>
    <w:rsid w:val="00000D75"/>
    <w:rsid w:val="00001B05"/>
    <w:rsid w:val="000020F4"/>
    <w:rsid w:val="00003529"/>
    <w:rsid w:val="000043E5"/>
    <w:rsid w:val="00005233"/>
    <w:rsid w:val="00005412"/>
    <w:rsid w:val="0000653F"/>
    <w:rsid w:val="0000687F"/>
    <w:rsid w:val="000068CF"/>
    <w:rsid w:val="000077BF"/>
    <w:rsid w:val="00007FFC"/>
    <w:rsid w:val="00010028"/>
    <w:rsid w:val="00011069"/>
    <w:rsid w:val="0001163B"/>
    <w:rsid w:val="00012138"/>
    <w:rsid w:val="00013244"/>
    <w:rsid w:val="00014FA8"/>
    <w:rsid w:val="000152A9"/>
    <w:rsid w:val="000158DE"/>
    <w:rsid w:val="00016C0F"/>
    <w:rsid w:val="0002199B"/>
    <w:rsid w:val="00022408"/>
    <w:rsid w:val="00022A8D"/>
    <w:rsid w:val="00022DDB"/>
    <w:rsid w:val="000235A5"/>
    <w:rsid w:val="00023C99"/>
    <w:rsid w:val="00024669"/>
    <w:rsid w:val="00024861"/>
    <w:rsid w:val="00025BC5"/>
    <w:rsid w:val="00027622"/>
    <w:rsid w:val="000312E6"/>
    <w:rsid w:val="000313A3"/>
    <w:rsid w:val="000328A0"/>
    <w:rsid w:val="00032EB5"/>
    <w:rsid w:val="00033E19"/>
    <w:rsid w:val="0003465A"/>
    <w:rsid w:val="00035423"/>
    <w:rsid w:val="00035BF2"/>
    <w:rsid w:val="0003713E"/>
    <w:rsid w:val="000372C3"/>
    <w:rsid w:val="000406EC"/>
    <w:rsid w:val="00041FB5"/>
    <w:rsid w:val="0004251D"/>
    <w:rsid w:val="0004494F"/>
    <w:rsid w:val="00044A89"/>
    <w:rsid w:val="00044AC2"/>
    <w:rsid w:val="00044F37"/>
    <w:rsid w:val="0004600C"/>
    <w:rsid w:val="0004663D"/>
    <w:rsid w:val="00047448"/>
    <w:rsid w:val="000474A1"/>
    <w:rsid w:val="00047555"/>
    <w:rsid w:val="00047F0D"/>
    <w:rsid w:val="000500A2"/>
    <w:rsid w:val="00050D2E"/>
    <w:rsid w:val="00051FB7"/>
    <w:rsid w:val="000521A8"/>
    <w:rsid w:val="00054670"/>
    <w:rsid w:val="000546BD"/>
    <w:rsid w:val="00054B7F"/>
    <w:rsid w:val="00054FDE"/>
    <w:rsid w:val="000562B2"/>
    <w:rsid w:val="00056D17"/>
    <w:rsid w:val="00060240"/>
    <w:rsid w:val="00061BE8"/>
    <w:rsid w:val="00061F80"/>
    <w:rsid w:val="00062395"/>
    <w:rsid w:val="00062EE8"/>
    <w:rsid w:val="00064580"/>
    <w:rsid w:val="00064AC1"/>
    <w:rsid w:val="0006529F"/>
    <w:rsid w:val="00065411"/>
    <w:rsid w:val="00065A46"/>
    <w:rsid w:val="00065BA2"/>
    <w:rsid w:val="00065E00"/>
    <w:rsid w:val="00065F0D"/>
    <w:rsid w:val="000661D9"/>
    <w:rsid w:val="000661F0"/>
    <w:rsid w:val="00066795"/>
    <w:rsid w:val="00066AC8"/>
    <w:rsid w:val="000679FF"/>
    <w:rsid w:val="00067B2B"/>
    <w:rsid w:val="00071E1C"/>
    <w:rsid w:val="00072384"/>
    <w:rsid w:val="00073FCD"/>
    <w:rsid w:val="00074A04"/>
    <w:rsid w:val="000753A0"/>
    <w:rsid w:val="00075D5A"/>
    <w:rsid w:val="00076048"/>
    <w:rsid w:val="000764F1"/>
    <w:rsid w:val="00077CF1"/>
    <w:rsid w:val="00081D98"/>
    <w:rsid w:val="000823CC"/>
    <w:rsid w:val="00082991"/>
    <w:rsid w:val="000841C0"/>
    <w:rsid w:val="0008496B"/>
    <w:rsid w:val="00085BD8"/>
    <w:rsid w:val="00085F82"/>
    <w:rsid w:val="00086678"/>
    <w:rsid w:val="00086A84"/>
    <w:rsid w:val="00087264"/>
    <w:rsid w:val="000909A6"/>
    <w:rsid w:val="00090D94"/>
    <w:rsid w:val="000923FC"/>
    <w:rsid w:val="0009242A"/>
    <w:rsid w:val="00092BD1"/>
    <w:rsid w:val="0009407D"/>
    <w:rsid w:val="000968B3"/>
    <w:rsid w:val="000975EF"/>
    <w:rsid w:val="000A05B7"/>
    <w:rsid w:val="000A150F"/>
    <w:rsid w:val="000A15D6"/>
    <w:rsid w:val="000A1780"/>
    <w:rsid w:val="000A2F67"/>
    <w:rsid w:val="000A3142"/>
    <w:rsid w:val="000A33A7"/>
    <w:rsid w:val="000A397F"/>
    <w:rsid w:val="000A46DE"/>
    <w:rsid w:val="000A479A"/>
    <w:rsid w:val="000A6E65"/>
    <w:rsid w:val="000A7112"/>
    <w:rsid w:val="000A7BE6"/>
    <w:rsid w:val="000B00F7"/>
    <w:rsid w:val="000B1BA2"/>
    <w:rsid w:val="000B22B8"/>
    <w:rsid w:val="000B23B8"/>
    <w:rsid w:val="000B28EC"/>
    <w:rsid w:val="000B393E"/>
    <w:rsid w:val="000B3F23"/>
    <w:rsid w:val="000B518F"/>
    <w:rsid w:val="000B54D8"/>
    <w:rsid w:val="000B5590"/>
    <w:rsid w:val="000B721E"/>
    <w:rsid w:val="000B7332"/>
    <w:rsid w:val="000C0831"/>
    <w:rsid w:val="000C1C4A"/>
    <w:rsid w:val="000C1CFD"/>
    <w:rsid w:val="000C2980"/>
    <w:rsid w:val="000C3722"/>
    <w:rsid w:val="000C4C62"/>
    <w:rsid w:val="000C5D9E"/>
    <w:rsid w:val="000C62BB"/>
    <w:rsid w:val="000C6BF0"/>
    <w:rsid w:val="000C7295"/>
    <w:rsid w:val="000C77A5"/>
    <w:rsid w:val="000D05A2"/>
    <w:rsid w:val="000D16ED"/>
    <w:rsid w:val="000D2833"/>
    <w:rsid w:val="000D2FD6"/>
    <w:rsid w:val="000D31D8"/>
    <w:rsid w:val="000D3347"/>
    <w:rsid w:val="000D3B6C"/>
    <w:rsid w:val="000D3C71"/>
    <w:rsid w:val="000D490C"/>
    <w:rsid w:val="000D7F73"/>
    <w:rsid w:val="000E0488"/>
    <w:rsid w:val="000E092D"/>
    <w:rsid w:val="000E23EF"/>
    <w:rsid w:val="000E2407"/>
    <w:rsid w:val="000E53E9"/>
    <w:rsid w:val="000E6328"/>
    <w:rsid w:val="000E63FF"/>
    <w:rsid w:val="000E6693"/>
    <w:rsid w:val="000E7B02"/>
    <w:rsid w:val="000E7BA4"/>
    <w:rsid w:val="000E7BEF"/>
    <w:rsid w:val="000E7D5D"/>
    <w:rsid w:val="000E7F8D"/>
    <w:rsid w:val="000F085E"/>
    <w:rsid w:val="000F0BC5"/>
    <w:rsid w:val="000F12F1"/>
    <w:rsid w:val="000F1EB9"/>
    <w:rsid w:val="000F2609"/>
    <w:rsid w:val="000F4049"/>
    <w:rsid w:val="000F4408"/>
    <w:rsid w:val="000F586A"/>
    <w:rsid w:val="000F58B8"/>
    <w:rsid w:val="000F765E"/>
    <w:rsid w:val="000F7CDC"/>
    <w:rsid w:val="00100982"/>
    <w:rsid w:val="00100B89"/>
    <w:rsid w:val="00100EEF"/>
    <w:rsid w:val="001013DB"/>
    <w:rsid w:val="001014A3"/>
    <w:rsid w:val="0010278E"/>
    <w:rsid w:val="00103A65"/>
    <w:rsid w:val="001043B6"/>
    <w:rsid w:val="001046D9"/>
    <w:rsid w:val="0010475A"/>
    <w:rsid w:val="00104BE1"/>
    <w:rsid w:val="00104EEE"/>
    <w:rsid w:val="001057E7"/>
    <w:rsid w:val="00106598"/>
    <w:rsid w:val="0010755A"/>
    <w:rsid w:val="0011005E"/>
    <w:rsid w:val="00111386"/>
    <w:rsid w:val="001113EE"/>
    <w:rsid w:val="00111591"/>
    <w:rsid w:val="00111FD7"/>
    <w:rsid w:val="001128EB"/>
    <w:rsid w:val="001135F2"/>
    <w:rsid w:val="00113656"/>
    <w:rsid w:val="00113988"/>
    <w:rsid w:val="0011400D"/>
    <w:rsid w:val="00114C04"/>
    <w:rsid w:val="00114E54"/>
    <w:rsid w:val="001154D1"/>
    <w:rsid w:val="001157D7"/>
    <w:rsid w:val="00116091"/>
    <w:rsid w:val="00117E3F"/>
    <w:rsid w:val="00117F51"/>
    <w:rsid w:val="00122400"/>
    <w:rsid w:val="00122EA0"/>
    <w:rsid w:val="0012305B"/>
    <w:rsid w:val="0012356B"/>
    <w:rsid w:val="00123AE7"/>
    <w:rsid w:val="00123B64"/>
    <w:rsid w:val="0012408E"/>
    <w:rsid w:val="001250D8"/>
    <w:rsid w:val="00126199"/>
    <w:rsid w:val="00126ED7"/>
    <w:rsid w:val="0012726C"/>
    <w:rsid w:val="001306D6"/>
    <w:rsid w:val="00130FA6"/>
    <w:rsid w:val="001319BA"/>
    <w:rsid w:val="00134111"/>
    <w:rsid w:val="00134BE6"/>
    <w:rsid w:val="001365C1"/>
    <w:rsid w:val="00137962"/>
    <w:rsid w:val="00137A6E"/>
    <w:rsid w:val="00137BDC"/>
    <w:rsid w:val="00140327"/>
    <w:rsid w:val="001418A1"/>
    <w:rsid w:val="00144CC7"/>
    <w:rsid w:val="00145427"/>
    <w:rsid w:val="00146B9C"/>
    <w:rsid w:val="00150DE6"/>
    <w:rsid w:val="001515A6"/>
    <w:rsid w:val="001518C2"/>
    <w:rsid w:val="00152715"/>
    <w:rsid w:val="00153BAA"/>
    <w:rsid w:val="00153E16"/>
    <w:rsid w:val="00155072"/>
    <w:rsid w:val="00156250"/>
    <w:rsid w:val="0016005C"/>
    <w:rsid w:val="0016042B"/>
    <w:rsid w:val="00160CD9"/>
    <w:rsid w:val="00161812"/>
    <w:rsid w:val="00161AE8"/>
    <w:rsid w:val="0016294D"/>
    <w:rsid w:val="00162CA8"/>
    <w:rsid w:val="00162FF1"/>
    <w:rsid w:val="0016442D"/>
    <w:rsid w:val="00164B77"/>
    <w:rsid w:val="00165A09"/>
    <w:rsid w:val="00165AE7"/>
    <w:rsid w:val="00166D69"/>
    <w:rsid w:val="00167659"/>
    <w:rsid w:val="0017002A"/>
    <w:rsid w:val="00170D88"/>
    <w:rsid w:val="0017112C"/>
    <w:rsid w:val="00172664"/>
    <w:rsid w:val="00172BF0"/>
    <w:rsid w:val="0017325E"/>
    <w:rsid w:val="0017434D"/>
    <w:rsid w:val="0017494D"/>
    <w:rsid w:val="00174E60"/>
    <w:rsid w:val="00175413"/>
    <w:rsid w:val="00175F51"/>
    <w:rsid w:val="001770A2"/>
    <w:rsid w:val="00180C07"/>
    <w:rsid w:val="00180CCF"/>
    <w:rsid w:val="00182545"/>
    <w:rsid w:val="00182D7D"/>
    <w:rsid w:val="001842E3"/>
    <w:rsid w:val="00186402"/>
    <w:rsid w:val="00186DDD"/>
    <w:rsid w:val="00190327"/>
    <w:rsid w:val="00190799"/>
    <w:rsid w:val="00190F55"/>
    <w:rsid w:val="00191D4A"/>
    <w:rsid w:val="00191F38"/>
    <w:rsid w:val="001926E3"/>
    <w:rsid w:val="00192CAE"/>
    <w:rsid w:val="00193109"/>
    <w:rsid w:val="001940CF"/>
    <w:rsid w:val="001942C0"/>
    <w:rsid w:val="00195721"/>
    <w:rsid w:val="00195E18"/>
    <w:rsid w:val="001961F8"/>
    <w:rsid w:val="001972A5"/>
    <w:rsid w:val="001A02F2"/>
    <w:rsid w:val="001A0949"/>
    <w:rsid w:val="001A1866"/>
    <w:rsid w:val="001A18D8"/>
    <w:rsid w:val="001A1C20"/>
    <w:rsid w:val="001A25F5"/>
    <w:rsid w:val="001A471E"/>
    <w:rsid w:val="001A5272"/>
    <w:rsid w:val="001A5D88"/>
    <w:rsid w:val="001A7723"/>
    <w:rsid w:val="001B0A98"/>
    <w:rsid w:val="001B0F4B"/>
    <w:rsid w:val="001B15D1"/>
    <w:rsid w:val="001B16FA"/>
    <w:rsid w:val="001B25E6"/>
    <w:rsid w:val="001B25EC"/>
    <w:rsid w:val="001B32B4"/>
    <w:rsid w:val="001B3C9C"/>
    <w:rsid w:val="001B4969"/>
    <w:rsid w:val="001B54EB"/>
    <w:rsid w:val="001B5932"/>
    <w:rsid w:val="001B6409"/>
    <w:rsid w:val="001B65F9"/>
    <w:rsid w:val="001B6990"/>
    <w:rsid w:val="001B6C03"/>
    <w:rsid w:val="001B6CB9"/>
    <w:rsid w:val="001B7B10"/>
    <w:rsid w:val="001B7D16"/>
    <w:rsid w:val="001C2DCB"/>
    <w:rsid w:val="001C3C80"/>
    <w:rsid w:val="001C4BC7"/>
    <w:rsid w:val="001C6A53"/>
    <w:rsid w:val="001D1673"/>
    <w:rsid w:val="001D1CD9"/>
    <w:rsid w:val="001D5A75"/>
    <w:rsid w:val="001D6543"/>
    <w:rsid w:val="001D6A0A"/>
    <w:rsid w:val="001D71BD"/>
    <w:rsid w:val="001D7595"/>
    <w:rsid w:val="001D7D49"/>
    <w:rsid w:val="001E0791"/>
    <w:rsid w:val="001E0800"/>
    <w:rsid w:val="001E0DED"/>
    <w:rsid w:val="001E162D"/>
    <w:rsid w:val="001E1816"/>
    <w:rsid w:val="001E2263"/>
    <w:rsid w:val="001E2738"/>
    <w:rsid w:val="001E285C"/>
    <w:rsid w:val="001E2918"/>
    <w:rsid w:val="001E3F68"/>
    <w:rsid w:val="001E5F42"/>
    <w:rsid w:val="001E6137"/>
    <w:rsid w:val="001E7793"/>
    <w:rsid w:val="001F19F8"/>
    <w:rsid w:val="001F21CB"/>
    <w:rsid w:val="001F2632"/>
    <w:rsid w:val="001F362A"/>
    <w:rsid w:val="001F3BB1"/>
    <w:rsid w:val="001F5603"/>
    <w:rsid w:val="001F57DB"/>
    <w:rsid w:val="001F69F7"/>
    <w:rsid w:val="001F6DC0"/>
    <w:rsid w:val="001F7078"/>
    <w:rsid w:val="00200E88"/>
    <w:rsid w:val="002019FD"/>
    <w:rsid w:val="00201E57"/>
    <w:rsid w:val="00202031"/>
    <w:rsid w:val="00202B8C"/>
    <w:rsid w:val="00203095"/>
    <w:rsid w:val="002034E6"/>
    <w:rsid w:val="00205421"/>
    <w:rsid w:val="00205D8A"/>
    <w:rsid w:val="0020628A"/>
    <w:rsid w:val="0020672D"/>
    <w:rsid w:val="002116DF"/>
    <w:rsid w:val="0021174F"/>
    <w:rsid w:val="002123B6"/>
    <w:rsid w:val="00212740"/>
    <w:rsid w:val="002131B7"/>
    <w:rsid w:val="00213482"/>
    <w:rsid w:val="002142E6"/>
    <w:rsid w:val="00214A60"/>
    <w:rsid w:val="00214CF2"/>
    <w:rsid w:val="00215360"/>
    <w:rsid w:val="002177A9"/>
    <w:rsid w:val="00220CD9"/>
    <w:rsid w:val="002221EF"/>
    <w:rsid w:val="00224532"/>
    <w:rsid w:val="0022464C"/>
    <w:rsid w:val="0022500F"/>
    <w:rsid w:val="0022539D"/>
    <w:rsid w:val="00225470"/>
    <w:rsid w:val="00225A39"/>
    <w:rsid w:val="00226932"/>
    <w:rsid w:val="00226D92"/>
    <w:rsid w:val="00227D8D"/>
    <w:rsid w:val="00230D1D"/>
    <w:rsid w:val="002310EA"/>
    <w:rsid w:val="00231C5F"/>
    <w:rsid w:val="002326B0"/>
    <w:rsid w:val="00232832"/>
    <w:rsid w:val="0023293B"/>
    <w:rsid w:val="00232DD8"/>
    <w:rsid w:val="00233326"/>
    <w:rsid w:val="00233AC1"/>
    <w:rsid w:val="00234E0A"/>
    <w:rsid w:val="00235AA6"/>
    <w:rsid w:val="0023797B"/>
    <w:rsid w:val="0024007C"/>
    <w:rsid w:val="00241807"/>
    <w:rsid w:val="002423F2"/>
    <w:rsid w:val="00242A16"/>
    <w:rsid w:val="00243940"/>
    <w:rsid w:val="00243F9B"/>
    <w:rsid w:val="00244037"/>
    <w:rsid w:val="00244817"/>
    <w:rsid w:val="0024490E"/>
    <w:rsid w:val="00244A33"/>
    <w:rsid w:val="002452EC"/>
    <w:rsid w:val="00247146"/>
    <w:rsid w:val="00247BD9"/>
    <w:rsid w:val="00247F30"/>
    <w:rsid w:val="00250111"/>
    <w:rsid w:val="00250B68"/>
    <w:rsid w:val="0025120D"/>
    <w:rsid w:val="00251AD5"/>
    <w:rsid w:val="00252AE3"/>
    <w:rsid w:val="00252D4C"/>
    <w:rsid w:val="0025327C"/>
    <w:rsid w:val="0025342A"/>
    <w:rsid w:val="0025353D"/>
    <w:rsid w:val="00254360"/>
    <w:rsid w:val="002543ED"/>
    <w:rsid w:val="00256311"/>
    <w:rsid w:val="00257904"/>
    <w:rsid w:val="00257BC6"/>
    <w:rsid w:val="00260DA5"/>
    <w:rsid w:val="0026109D"/>
    <w:rsid w:val="002617BB"/>
    <w:rsid w:val="00261CC8"/>
    <w:rsid w:val="00264128"/>
    <w:rsid w:val="00264824"/>
    <w:rsid w:val="0026588F"/>
    <w:rsid w:val="00270A6B"/>
    <w:rsid w:val="002746F9"/>
    <w:rsid w:val="00274FC3"/>
    <w:rsid w:val="00275AC2"/>
    <w:rsid w:val="00276046"/>
    <w:rsid w:val="00276E87"/>
    <w:rsid w:val="0027706B"/>
    <w:rsid w:val="00277213"/>
    <w:rsid w:val="0028048E"/>
    <w:rsid w:val="00280A88"/>
    <w:rsid w:val="00280B68"/>
    <w:rsid w:val="0028113C"/>
    <w:rsid w:val="0028309F"/>
    <w:rsid w:val="002833DD"/>
    <w:rsid w:val="0028399F"/>
    <w:rsid w:val="00283B9B"/>
    <w:rsid w:val="00285008"/>
    <w:rsid w:val="002858BA"/>
    <w:rsid w:val="00287987"/>
    <w:rsid w:val="00290026"/>
    <w:rsid w:val="0029062C"/>
    <w:rsid w:val="0029157B"/>
    <w:rsid w:val="0029175B"/>
    <w:rsid w:val="00291F01"/>
    <w:rsid w:val="00291F03"/>
    <w:rsid w:val="00292D65"/>
    <w:rsid w:val="00293304"/>
    <w:rsid w:val="002944C4"/>
    <w:rsid w:val="002958DB"/>
    <w:rsid w:val="002967AA"/>
    <w:rsid w:val="002979C2"/>
    <w:rsid w:val="002A019C"/>
    <w:rsid w:val="002A0973"/>
    <w:rsid w:val="002A0C4E"/>
    <w:rsid w:val="002A0F28"/>
    <w:rsid w:val="002A12CE"/>
    <w:rsid w:val="002A3204"/>
    <w:rsid w:val="002A4692"/>
    <w:rsid w:val="002A5C0A"/>
    <w:rsid w:val="002A678E"/>
    <w:rsid w:val="002B05F6"/>
    <w:rsid w:val="002B0FFF"/>
    <w:rsid w:val="002B1421"/>
    <w:rsid w:val="002B180F"/>
    <w:rsid w:val="002B23F4"/>
    <w:rsid w:val="002B24A7"/>
    <w:rsid w:val="002B2BE1"/>
    <w:rsid w:val="002B3D4A"/>
    <w:rsid w:val="002B42A0"/>
    <w:rsid w:val="002B4CC7"/>
    <w:rsid w:val="002B5064"/>
    <w:rsid w:val="002B76D2"/>
    <w:rsid w:val="002C0161"/>
    <w:rsid w:val="002C0623"/>
    <w:rsid w:val="002C0857"/>
    <w:rsid w:val="002C096C"/>
    <w:rsid w:val="002C0981"/>
    <w:rsid w:val="002C13FA"/>
    <w:rsid w:val="002C1D91"/>
    <w:rsid w:val="002C1FC8"/>
    <w:rsid w:val="002C27C5"/>
    <w:rsid w:val="002C2BAE"/>
    <w:rsid w:val="002C36F4"/>
    <w:rsid w:val="002C3F1E"/>
    <w:rsid w:val="002C4600"/>
    <w:rsid w:val="002C4762"/>
    <w:rsid w:val="002C4C53"/>
    <w:rsid w:val="002C5188"/>
    <w:rsid w:val="002C6582"/>
    <w:rsid w:val="002C6EB2"/>
    <w:rsid w:val="002C7708"/>
    <w:rsid w:val="002D2D7F"/>
    <w:rsid w:val="002D5253"/>
    <w:rsid w:val="002D5A20"/>
    <w:rsid w:val="002D5ACF"/>
    <w:rsid w:val="002D5E7E"/>
    <w:rsid w:val="002D6364"/>
    <w:rsid w:val="002D6E54"/>
    <w:rsid w:val="002E0D8A"/>
    <w:rsid w:val="002E0D99"/>
    <w:rsid w:val="002E1254"/>
    <w:rsid w:val="002E19AD"/>
    <w:rsid w:val="002E2637"/>
    <w:rsid w:val="002E2ABD"/>
    <w:rsid w:val="002E396A"/>
    <w:rsid w:val="002E4110"/>
    <w:rsid w:val="002E4F81"/>
    <w:rsid w:val="002E55B9"/>
    <w:rsid w:val="002E5889"/>
    <w:rsid w:val="002E63A1"/>
    <w:rsid w:val="002E63C0"/>
    <w:rsid w:val="002E6F53"/>
    <w:rsid w:val="002E722E"/>
    <w:rsid w:val="002E7AB3"/>
    <w:rsid w:val="002E7E61"/>
    <w:rsid w:val="002F06BF"/>
    <w:rsid w:val="002F0997"/>
    <w:rsid w:val="002F0BBB"/>
    <w:rsid w:val="002F0D9A"/>
    <w:rsid w:val="002F0F8B"/>
    <w:rsid w:val="002F1192"/>
    <w:rsid w:val="002F14DE"/>
    <w:rsid w:val="002F2600"/>
    <w:rsid w:val="002F2D06"/>
    <w:rsid w:val="002F4B2E"/>
    <w:rsid w:val="002F4F70"/>
    <w:rsid w:val="002F5F90"/>
    <w:rsid w:val="002F608F"/>
    <w:rsid w:val="002F6963"/>
    <w:rsid w:val="002F6A83"/>
    <w:rsid w:val="002F6D82"/>
    <w:rsid w:val="002F7E4F"/>
    <w:rsid w:val="00300066"/>
    <w:rsid w:val="003005CA"/>
    <w:rsid w:val="0030118E"/>
    <w:rsid w:val="00301672"/>
    <w:rsid w:val="0030187D"/>
    <w:rsid w:val="00301C78"/>
    <w:rsid w:val="00302187"/>
    <w:rsid w:val="00302267"/>
    <w:rsid w:val="00302D5C"/>
    <w:rsid w:val="003030CD"/>
    <w:rsid w:val="00303FE1"/>
    <w:rsid w:val="00304523"/>
    <w:rsid w:val="00304A77"/>
    <w:rsid w:val="003057C2"/>
    <w:rsid w:val="0030625C"/>
    <w:rsid w:val="00306B2C"/>
    <w:rsid w:val="00310D2F"/>
    <w:rsid w:val="00313730"/>
    <w:rsid w:val="00313ADE"/>
    <w:rsid w:val="00313CC6"/>
    <w:rsid w:val="003141C1"/>
    <w:rsid w:val="003144BD"/>
    <w:rsid w:val="00314965"/>
    <w:rsid w:val="00315D30"/>
    <w:rsid w:val="003161B7"/>
    <w:rsid w:val="003167C6"/>
    <w:rsid w:val="00316940"/>
    <w:rsid w:val="00316BC8"/>
    <w:rsid w:val="003172E1"/>
    <w:rsid w:val="003208C2"/>
    <w:rsid w:val="00322F86"/>
    <w:rsid w:val="003250CF"/>
    <w:rsid w:val="00325625"/>
    <w:rsid w:val="00326167"/>
    <w:rsid w:val="00326CD9"/>
    <w:rsid w:val="0032791B"/>
    <w:rsid w:val="00330B31"/>
    <w:rsid w:val="00330B66"/>
    <w:rsid w:val="00330E7A"/>
    <w:rsid w:val="00331786"/>
    <w:rsid w:val="003318E2"/>
    <w:rsid w:val="003319C7"/>
    <w:rsid w:val="00331C67"/>
    <w:rsid w:val="003326D3"/>
    <w:rsid w:val="0033395F"/>
    <w:rsid w:val="00333AA6"/>
    <w:rsid w:val="00333EA2"/>
    <w:rsid w:val="00335038"/>
    <w:rsid w:val="003358BB"/>
    <w:rsid w:val="00335ECB"/>
    <w:rsid w:val="00336902"/>
    <w:rsid w:val="00336D51"/>
    <w:rsid w:val="003371A7"/>
    <w:rsid w:val="00340192"/>
    <w:rsid w:val="003409B5"/>
    <w:rsid w:val="00341621"/>
    <w:rsid w:val="00342A0D"/>
    <w:rsid w:val="00343C03"/>
    <w:rsid w:val="00343D27"/>
    <w:rsid w:val="003444B0"/>
    <w:rsid w:val="0034453C"/>
    <w:rsid w:val="0034551F"/>
    <w:rsid w:val="003474CE"/>
    <w:rsid w:val="0034766A"/>
    <w:rsid w:val="003506BF"/>
    <w:rsid w:val="00350A42"/>
    <w:rsid w:val="003518C5"/>
    <w:rsid w:val="00351CA7"/>
    <w:rsid w:val="0035213F"/>
    <w:rsid w:val="00352741"/>
    <w:rsid w:val="00352E42"/>
    <w:rsid w:val="00353403"/>
    <w:rsid w:val="00353549"/>
    <w:rsid w:val="00353E3C"/>
    <w:rsid w:val="0035499D"/>
    <w:rsid w:val="003559EC"/>
    <w:rsid w:val="003576FF"/>
    <w:rsid w:val="003601DB"/>
    <w:rsid w:val="003603D3"/>
    <w:rsid w:val="003611C7"/>
    <w:rsid w:val="003611CE"/>
    <w:rsid w:val="0036129F"/>
    <w:rsid w:val="00361313"/>
    <w:rsid w:val="00362343"/>
    <w:rsid w:val="00363D62"/>
    <w:rsid w:val="00363EB2"/>
    <w:rsid w:val="00364C7C"/>
    <w:rsid w:val="00365D6D"/>
    <w:rsid w:val="00366AA6"/>
    <w:rsid w:val="0037131A"/>
    <w:rsid w:val="00371574"/>
    <w:rsid w:val="0037218F"/>
    <w:rsid w:val="00372599"/>
    <w:rsid w:val="00372741"/>
    <w:rsid w:val="003727A4"/>
    <w:rsid w:val="00372B90"/>
    <w:rsid w:val="0037329C"/>
    <w:rsid w:val="0037363B"/>
    <w:rsid w:val="0037425D"/>
    <w:rsid w:val="0037468D"/>
    <w:rsid w:val="00374746"/>
    <w:rsid w:val="003753D3"/>
    <w:rsid w:val="003756F6"/>
    <w:rsid w:val="00376505"/>
    <w:rsid w:val="00376C2B"/>
    <w:rsid w:val="00377869"/>
    <w:rsid w:val="003779C9"/>
    <w:rsid w:val="00381060"/>
    <w:rsid w:val="003815D8"/>
    <w:rsid w:val="00382F87"/>
    <w:rsid w:val="00383ADC"/>
    <w:rsid w:val="003843A8"/>
    <w:rsid w:val="00386651"/>
    <w:rsid w:val="003867F8"/>
    <w:rsid w:val="00386F2B"/>
    <w:rsid w:val="00387740"/>
    <w:rsid w:val="00393091"/>
    <w:rsid w:val="00394633"/>
    <w:rsid w:val="0039527F"/>
    <w:rsid w:val="0039734C"/>
    <w:rsid w:val="003975D0"/>
    <w:rsid w:val="00397AB1"/>
    <w:rsid w:val="00397B99"/>
    <w:rsid w:val="003A0881"/>
    <w:rsid w:val="003A17AB"/>
    <w:rsid w:val="003A2629"/>
    <w:rsid w:val="003A413A"/>
    <w:rsid w:val="003A445C"/>
    <w:rsid w:val="003A47A5"/>
    <w:rsid w:val="003A592F"/>
    <w:rsid w:val="003A60B2"/>
    <w:rsid w:val="003A6289"/>
    <w:rsid w:val="003A67FD"/>
    <w:rsid w:val="003A7755"/>
    <w:rsid w:val="003A78FF"/>
    <w:rsid w:val="003A7D0F"/>
    <w:rsid w:val="003B1928"/>
    <w:rsid w:val="003B21A7"/>
    <w:rsid w:val="003B4117"/>
    <w:rsid w:val="003B44C8"/>
    <w:rsid w:val="003B4976"/>
    <w:rsid w:val="003B52A6"/>
    <w:rsid w:val="003B5F29"/>
    <w:rsid w:val="003B5FC3"/>
    <w:rsid w:val="003B5FDA"/>
    <w:rsid w:val="003B60EE"/>
    <w:rsid w:val="003B62CF"/>
    <w:rsid w:val="003B739A"/>
    <w:rsid w:val="003C0741"/>
    <w:rsid w:val="003C0F4F"/>
    <w:rsid w:val="003C1F8B"/>
    <w:rsid w:val="003C2109"/>
    <w:rsid w:val="003C44B1"/>
    <w:rsid w:val="003C46B5"/>
    <w:rsid w:val="003C4C05"/>
    <w:rsid w:val="003C70EC"/>
    <w:rsid w:val="003C75C5"/>
    <w:rsid w:val="003D0128"/>
    <w:rsid w:val="003D3178"/>
    <w:rsid w:val="003D3A2A"/>
    <w:rsid w:val="003D41AB"/>
    <w:rsid w:val="003D48A2"/>
    <w:rsid w:val="003D6126"/>
    <w:rsid w:val="003D6D8C"/>
    <w:rsid w:val="003E00DD"/>
    <w:rsid w:val="003E1450"/>
    <w:rsid w:val="003E1797"/>
    <w:rsid w:val="003E2D1D"/>
    <w:rsid w:val="003E48DD"/>
    <w:rsid w:val="003E5488"/>
    <w:rsid w:val="003E61BA"/>
    <w:rsid w:val="003E649D"/>
    <w:rsid w:val="003E6619"/>
    <w:rsid w:val="003E69F6"/>
    <w:rsid w:val="003E6E0E"/>
    <w:rsid w:val="003E7D6F"/>
    <w:rsid w:val="003F0A6B"/>
    <w:rsid w:val="003F0B65"/>
    <w:rsid w:val="003F0F58"/>
    <w:rsid w:val="003F2529"/>
    <w:rsid w:val="003F331A"/>
    <w:rsid w:val="003F5571"/>
    <w:rsid w:val="003F613E"/>
    <w:rsid w:val="003F6612"/>
    <w:rsid w:val="003F6ABF"/>
    <w:rsid w:val="003F6FC0"/>
    <w:rsid w:val="003F72A1"/>
    <w:rsid w:val="003F7D66"/>
    <w:rsid w:val="003F7E6B"/>
    <w:rsid w:val="003F7EAE"/>
    <w:rsid w:val="004005D4"/>
    <w:rsid w:val="0040061A"/>
    <w:rsid w:val="004006AD"/>
    <w:rsid w:val="00401418"/>
    <w:rsid w:val="00401C44"/>
    <w:rsid w:val="004031C7"/>
    <w:rsid w:val="00403AC5"/>
    <w:rsid w:val="00404B9E"/>
    <w:rsid w:val="00405405"/>
    <w:rsid w:val="00407369"/>
    <w:rsid w:val="00407CDF"/>
    <w:rsid w:val="00410080"/>
    <w:rsid w:val="004133B7"/>
    <w:rsid w:val="00413A30"/>
    <w:rsid w:val="00414115"/>
    <w:rsid w:val="004166E7"/>
    <w:rsid w:val="004167CE"/>
    <w:rsid w:val="00417340"/>
    <w:rsid w:val="004173B8"/>
    <w:rsid w:val="0042255D"/>
    <w:rsid w:val="004226BD"/>
    <w:rsid w:val="0042312F"/>
    <w:rsid w:val="0042404F"/>
    <w:rsid w:val="0042586B"/>
    <w:rsid w:val="00425AEA"/>
    <w:rsid w:val="00426038"/>
    <w:rsid w:val="00426708"/>
    <w:rsid w:val="00426E27"/>
    <w:rsid w:val="00427BC4"/>
    <w:rsid w:val="00427F32"/>
    <w:rsid w:val="00430BF4"/>
    <w:rsid w:val="00430C9F"/>
    <w:rsid w:val="00431DF0"/>
    <w:rsid w:val="00431E66"/>
    <w:rsid w:val="0043206F"/>
    <w:rsid w:val="00432959"/>
    <w:rsid w:val="004343A5"/>
    <w:rsid w:val="00434C25"/>
    <w:rsid w:val="00435453"/>
    <w:rsid w:val="00435EB6"/>
    <w:rsid w:val="004372A1"/>
    <w:rsid w:val="00437C3E"/>
    <w:rsid w:val="00440061"/>
    <w:rsid w:val="004408D9"/>
    <w:rsid w:val="00441208"/>
    <w:rsid w:val="004418F9"/>
    <w:rsid w:val="00441A1A"/>
    <w:rsid w:val="00442310"/>
    <w:rsid w:val="00442BDB"/>
    <w:rsid w:val="00442F1E"/>
    <w:rsid w:val="00443D93"/>
    <w:rsid w:val="00444577"/>
    <w:rsid w:val="004448C1"/>
    <w:rsid w:val="00444B56"/>
    <w:rsid w:val="00444B70"/>
    <w:rsid w:val="00445DA5"/>
    <w:rsid w:val="00445E60"/>
    <w:rsid w:val="00447464"/>
    <w:rsid w:val="00450239"/>
    <w:rsid w:val="00451C57"/>
    <w:rsid w:val="00452287"/>
    <w:rsid w:val="00452734"/>
    <w:rsid w:val="00453136"/>
    <w:rsid w:val="00453169"/>
    <w:rsid w:val="0045416C"/>
    <w:rsid w:val="0045729E"/>
    <w:rsid w:val="00457C29"/>
    <w:rsid w:val="004605B5"/>
    <w:rsid w:val="004605DC"/>
    <w:rsid w:val="00461056"/>
    <w:rsid w:val="00462394"/>
    <w:rsid w:val="0046252F"/>
    <w:rsid w:val="00463A73"/>
    <w:rsid w:val="0046480A"/>
    <w:rsid w:val="00464AF4"/>
    <w:rsid w:val="00465C7F"/>
    <w:rsid w:val="004667CA"/>
    <w:rsid w:val="00467BDA"/>
    <w:rsid w:val="00470272"/>
    <w:rsid w:val="00470446"/>
    <w:rsid w:val="004711F7"/>
    <w:rsid w:val="00471602"/>
    <w:rsid w:val="00471729"/>
    <w:rsid w:val="004722C7"/>
    <w:rsid w:val="004726A2"/>
    <w:rsid w:val="0047274C"/>
    <w:rsid w:val="0047374E"/>
    <w:rsid w:val="00474581"/>
    <w:rsid w:val="00474C4F"/>
    <w:rsid w:val="0047606E"/>
    <w:rsid w:val="00480F38"/>
    <w:rsid w:val="00481CAE"/>
    <w:rsid w:val="00481D5E"/>
    <w:rsid w:val="00482AEB"/>
    <w:rsid w:val="004836DB"/>
    <w:rsid w:val="0048387B"/>
    <w:rsid w:val="00484CA9"/>
    <w:rsid w:val="0048690E"/>
    <w:rsid w:val="00487161"/>
    <w:rsid w:val="004904AC"/>
    <w:rsid w:val="00490702"/>
    <w:rsid w:val="00491386"/>
    <w:rsid w:val="0049212B"/>
    <w:rsid w:val="0049218D"/>
    <w:rsid w:val="004923DB"/>
    <w:rsid w:val="00492A3F"/>
    <w:rsid w:val="004937DB"/>
    <w:rsid w:val="0049395E"/>
    <w:rsid w:val="00494A70"/>
    <w:rsid w:val="00495070"/>
    <w:rsid w:val="00495AD2"/>
    <w:rsid w:val="00497342"/>
    <w:rsid w:val="0049734E"/>
    <w:rsid w:val="004A17C5"/>
    <w:rsid w:val="004A2953"/>
    <w:rsid w:val="004A3CC8"/>
    <w:rsid w:val="004A4810"/>
    <w:rsid w:val="004A4E75"/>
    <w:rsid w:val="004A517B"/>
    <w:rsid w:val="004A52B7"/>
    <w:rsid w:val="004A5359"/>
    <w:rsid w:val="004A6BA8"/>
    <w:rsid w:val="004B0E47"/>
    <w:rsid w:val="004B1693"/>
    <w:rsid w:val="004B1B5F"/>
    <w:rsid w:val="004B1F9C"/>
    <w:rsid w:val="004B234A"/>
    <w:rsid w:val="004B2B52"/>
    <w:rsid w:val="004B38D9"/>
    <w:rsid w:val="004B42E4"/>
    <w:rsid w:val="004B6D27"/>
    <w:rsid w:val="004B774B"/>
    <w:rsid w:val="004B780A"/>
    <w:rsid w:val="004B7CBA"/>
    <w:rsid w:val="004C0466"/>
    <w:rsid w:val="004C0B3E"/>
    <w:rsid w:val="004C1B43"/>
    <w:rsid w:val="004C2408"/>
    <w:rsid w:val="004C3441"/>
    <w:rsid w:val="004C367A"/>
    <w:rsid w:val="004C4664"/>
    <w:rsid w:val="004C4B15"/>
    <w:rsid w:val="004C5AFF"/>
    <w:rsid w:val="004C6EF6"/>
    <w:rsid w:val="004C70F8"/>
    <w:rsid w:val="004C747E"/>
    <w:rsid w:val="004C76C6"/>
    <w:rsid w:val="004C76D4"/>
    <w:rsid w:val="004C7758"/>
    <w:rsid w:val="004D0382"/>
    <w:rsid w:val="004D122A"/>
    <w:rsid w:val="004D1479"/>
    <w:rsid w:val="004D23F7"/>
    <w:rsid w:val="004D24F4"/>
    <w:rsid w:val="004D26A1"/>
    <w:rsid w:val="004D271E"/>
    <w:rsid w:val="004D2881"/>
    <w:rsid w:val="004D32F0"/>
    <w:rsid w:val="004D358D"/>
    <w:rsid w:val="004D45EE"/>
    <w:rsid w:val="004D463E"/>
    <w:rsid w:val="004D4D28"/>
    <w:rsid w:val="004D50E8"/>
    <w:rsid w:val="004D64AD"/>
    <w:rsid w:val="004D6C08"/>
    <w:rsid w:val="004D726C"/>
    <w:rsid w:val="004E00A9"/>
    <w:rsid w:val="004E0E15"/>
    <w:rsid w:val="004E1FEB"/>
    <w:rsid w:val="004E3ED9"/>
    <w:rsid w:val="004E3F19"/>
    <w:rsid w:val="004E416C"/>
    <w:rsid w:val="004E42E6"/>
    <w:rsid w:val="004E4521"/>
    <w:rsid w:val="004E4A3C"/>
    <w:rsid w:val="004E52CB"/>
    <w:rsid w:val="004E538D"/>
    <w:rsid w:val="004E58A3"/>
    <w:rsid w:val="004E5BE3"/>
    <w:rsid w:val="004E7994"/>
    <w:rsid w:val="004F0381"/>
    <w:rsid w:val="004F106D"/>
    <w:rsid w:val="004F111F"/>
    <w:rsid w:val="004F1FD7"/>
    <w:rsid w:val="004F31F3"/>
    <w:rsid w:val="004F440C"/>
    <w:rsid w:val="004F480C"/>
    <w:rsid w:val="004F6185"/>
    <w:rsid w:val="004F6407"/>
    <w:rsid w:val="004F7288"/>
    <w:rsid w:val="0050016A"/>
    <w:rsid w:val="00500D3D"/>
    <w:rsid w:val="00501784"/>
    <w:rsid w:val="00502190"/>
    <w:rsid w:val="00503AF4"/>
    <w:rsid w:val="00503EF7"/>
    <w:rsid w:val="00504A40"/>
    <w:rsid w:val="00505373"/>
    <w:rsid w:val="00505C17"/>
    <w:rsid w:val="0050643F"/>
    <w:rsid w:val="00507CA6"/>
    <w:rsid w:val="00510B6C"/>
    <w:rsid w:val="00511CA8"/>
    <w:rsid w:val="00511D27"/>
    <w:rsid w:val="005131AA"/>
    <w:rsid w:val="005145A3"/>
    <w:rsid w:val="0051497D"/>
    <w:rsid w:val="00514DB6"/>
    <w:rsid w:val="0051539F"/>
    <w:rsid w:val="00515C93"/>
    <w:rsid w:val="00516CF3"/>
    <w:rsid w:val="00516E66"/>
    <w:rsid w:val="00517C6E"/>
    <w:rsid w:val="00520998"/>
    <w:rsid w:val="005215D3"/>
    <w:rsid w:val="005216D7"/>
    <w:rsid w:val="005224EE"/>
    <w:rsid w:val="00522ED8"/>
    <w:rsid w:val="0052308C"/>
    <w:rsid w:val="00523198"/>
    <w:rsid w:val="0052342A"/>
    <w:rsid w:val="0052405B"/>
    <w:rsid w:val="00524B7F"/>
    <w:rsid w:val="005303E1"/>
    <w:rsid w:val="00530FA5"/>
    <w:rsid w:val="00531622"/>
    <w:rsid w:val="00531D4D"/>
    <w:rsid w:val="0053230D"/>
    <w:rsid w:val="005323F8"/>
    <w:rsid w:val="00533514"/>
    <w:rsid w:val="00533AA4"/>
    <w:rsid w:val="00535936"/>
    <w:rsid w:val="0053612F"/>
    <w:rsid w:val="00536D5B"/>
    <w:rsid w:val="00537352"/>
    <w:rsid w:val="0053757A"/>
    <w:rsid w:val="00537CAB"/>
    <w:rsid w:val="005403AF"/>
    <w:rsid w:val="00540B16"/>
    <w:rsid w:val="0054142B"/>
    <w:rsid w:val="005428E6"/>
    <w:rsid w:val="00543616"/>
    <w:rsid w:val="0054363A"/>
    <w:rsid w:val="00547104"/>
    <w:rsid w:val="0055008E"/>
    <w:rsid w:val="005503C9"/>
    <w:rsid w:val="005515BE"/>
    <w:rsid w:val="0055207B"/>
    <w:rsid w:val="00552C31"/>
    <w:rsid w:val="005536C9"/>
    <w:rsid w:val="00553D18"/>
    <w:rsid w:val="005544AA"/>
    <w:rsid w:val="0055466B"/>
    <w:rsid w:val="00554C6E"/>
    <w:rsid w:val="00554E16"/>
    <w:rsid w:val="00555192"/>
    <w:rsid w:val="00555E0C"/>
    <w:rsid w:val="0055719F"/>
    <w:rsid w:val="005571C9"/>
    <w:rsid w:val="005578D9"/>
    <w:rsid w:val="00557CAF"/>
    <w:rsid w:val="005606C0"/>
    <w:rsid w:val="00560847"/>
    <w:rsid w:val="00561C25"/>
    <w:rsid w:val="00561CBD"/>
    <w:rsid w:val="00563096"/>
    <w:rsid w:val="00563A4D"/>
    <w:rsid w:val="00563FD1"/>
    <w:rsid w:val="00564E33"/>
    <w:rsid w:val="005669B6"/>
    <w:rsid w:val="005671A2"/>
    <w:rsid w:val="00567988"/>
    <w:rsid w:val="00567DA9"/>
    <w:rsid w:val="005722F1"/>
    <w:rsid w:val="005728E7"/>
    <w:rsid w:val="00572C78"/>
    <w:rsid w:val="005732EC"/>
    <w:rsid w:val="00573FA7"/>
    <w:rsid w:val="0057431A"/>
    <w:rsid w:val="005745B7"/>
    <w:rsid w:val="005754BF"/>
    <w:rsid w:val="00576712"/>
    <w:rsid w:val="005768B2"/>
    <w:rsid w:val="00576F2B"/>
    <w:rsid w:val="00580D8C"/>
    <w:rsid w:val="005813EE"/>
    <w:rsid w:val="005814E2"/>
    <w:rsid w:val="00582032"/>
    <w:rsid w:val="00584809"/>
    <w:rsid w:val="00585894"/>
    <w:rsid w:val="00585F45"/>
    <w:rsid w:val="00586E1F"/>
    <w:rsid w:val="00587969"/>
    <w:rsid w:val="00591150"/>
    <w:rsid w:val="00591BF0"/>
    <w:rsid w:val="00591C98"/>
    <w:rsid w:val="00592481"/>
    <w:rsid w:val="00592F89"/>
    <w:rsid w:val="00593C68"/>
    <w:rsid w:val="0059425A"/>
    <w:rsid w:val="00594632"/>
    <w:rsid w:val="00594A54"/>
    <w:rsid w:val="005958CA"/>
    <w:rsid w:val="00596251"/>
    <w:rsid w:val="005962BA"/>
    <w:rsid w:val="00596418"/>
    <w:rsid w:val="005A0722"/>
    <w:rsid w:val="005A307E"/>
    <w:rsid w:val="005A44B0"/>
    <w:rsid w:val="005A45BA"/>
    <w:rsid w:val="005A52CC"/>
    <w:rsid w:val="005A58CA"/>
    <w:rsid w:val="005A78D5"/>
    <w:rsid w:val="005A7DE2"/>
    <w:rsid w:val="005B0144"/>
    <w:rsid w:val="005B13AF"/>
    <w:rsid w:val="005B1790"/>
    <w:rsid w:val="005B282B"/>
    <w:rsid w:val="005B388D"/>
    <w:rsid w:val="005B400F"/>
    <w:rsid w:val="005B5240"/>
    <w:rsid w:val="005B760F"/>
    <w:rsid w:val="005B7AC4"/>
    <w:rsid w:val="005C092E"/>
    <w:rsid w:val="005C161A"/>
    <w:rsid w:val="005C293A"/>
    <w:rsid w:val="005C300E"/>
    <w:rsid w:val="005C3573"/>
    <w:rsid w:val="005C3AFC"/>
    <w:rsid w:val="005C3C2A"/>
    <w:rsid w:val="005C3DB7"/>
    <w:rsid w:val="005C530C"/>
    <w:rsid w:val="005C586D"/>
    <w:rsid w:val="005C63AA"/>
    <w:rsid w:val="005C76C9"/>
    <w:rsid w:val="005C7C93"/>
    <w:rsid w:val="005C7F0B"/>
    <w:rsid w:val="005D0EDA"/>
    <w:rsid w:val="005D2E4A"/>
    <w:rsid w:val="005D2F1C"/>
    <w:rsid w:val="005D4BA8"/>
    <w:rsid w:val="005D56A7"/>
    <w:rsid w:val="005D59F1"/>
    <w:rsid w:val="005D7D4B"/>
    <w:rsid w:val="005E0141"/>
    <w:rsid w:val="005E044F"/>
    <w:rsid w:val="005E1F7F"/>
    <w:rsid w:val="005E28C4"/>
    <w:rsid w:val="005E2F24"/>
    <w:rsid w:val="005E3B1F"/>
    <w:rsid w:val="005E3F4C"/>
    <w:rsid w:val="005E4445"/>
    <w:rsid w:val="005E481F"/>
    <w:rsid w:val="005E4D7A"/>
    <w:rsid w:val="005E503C"/>
    <w:rsid w:val="005E5A2C"/>
    <w:rsid w:val="005E5AE4"/>
    <w:rsid w:val="005E61DA"/>
    <w:rsid w:val="005E6656"/>
    <w:rsid w:val="005E7163"/>
    <w:rsid w:val="005F05B0"/>
    <w:rsid w:val="005F11D4"/>
    <w:rsid w:val="005F1FB9"/>
    <w:rsid w:val="005F33AD"/>
    <w:rsid w:val="005F46C9"/>
    <w:rsid w:val="005F4728"/>
    <w:rsid w:val="005F4EEB"/>
    <w:rsid w:val="005F55FA"/>
    <w:rsid w:val="005F67C6"/>
    <w:rsid w:val="005F6BE0"/>
    <w:rsid w:val="005F7951"/>
    <w:rsid w:val="005F7A59"/>
    <w:rsid w:val="00603EE5"/>
    <w:rsid w:val="006045B4"/>
    <w:rsid w:val="00604A20"/>
    <w:rsid w:val="00606543"/>
    <w:rsid w:val="0060677E"/>
    <w:rsid w:val="00606790"/>
    <w:rsid w:val="00607596"/>
    <w:rsid w:val="00610905"/>
    <w:rsid w:val="006111E4"/>
    <w:rsid w:val="006115CE"/>
    <w:rsid w:val="00613DE0"/>
    <w:rsid w:val="006148AA"/>
    <w:rsid w:val="00616FB7"/>
    <w:rsid w:val="006179AE"/>
    <w:rsid w:val="00617F3B"/>
    <w:rsid w:val="006208A0"/>
    <w:rsid w:val="00621AE0"/>
    <w:rsid w:val="00621E14"/>
    <w:rsid w:val="00622431"/>
    <w:rsid w:val="00622570"/>
    <w:rsid w:val="0062270C"/>
    <w:rsid w:val="00622B5C"/>
    <w:rsid w:val="006231DE"/>
    <w:rsid w:val="00623A66"/>
    <w:rsid w:val="00623FB9"/>
    <w:rsid w:val="00624D66"/>
    <w:rsid w:val="00624DD2"/>
    <w:rsid w:val="006252DC"/>
    <w:rsid w:val="0062582C"/>
    <w:rsid w:val="00625F95"/>
    <w:rsid w:val="006261C9"/>
    <w:rsid w:val="006266D1"/>
    <w:rsid w:val="006267FF"/>
    <w:rsid w:val="00627DE6"/>
    <w:rsid w:val="006301F9"/>
    <w:rsid w:val="006304A0"/>
    <w:rsid w:val="00630968"/>
    <w:rsid w:val="006313EE"/>
    <w:rsid w:val="00631878"/>
    <w:rsid w:val="006326A1"/>
    <w:rsid w:val="00632778"/>
    <w:rsid w:val="00634737"/>
    <w:rsid w:val="00634CBD"/>
    <w:rsid w:val="00635F7B"/>
    <w:rsid w:val="00636237"/>
    <w:rsid w:val="00636E4A"/>
    <w:rsid w:val="00637D06"/>
    <w:rsid w:val="0064093C"/>
    <w:rsid w:val="0064152A"/>
    <w:rsid w:val="00641AC4"/>
    <w:rsid w:val="00641C32"/>
    <w:rsid w:val="006422F9"/>
    <w:rsid w:val="00642392"/>
    <w:rsid w:val="00642B1B"/>
    <w:rsid w:val="00642C64"/>
    <w:rsid w:val="00643379"/>
    <w:rsid w:val="006436A4"/>
    <w:rsid w:val="00643833"/>
    <w:rsid w:val="00643901"/>
    <w:rsid w:val="00644105"/>
    <w:rsid w:val="00644792"/>
    <w:rsid w:val="006454C3"/>
    <w:rsid w:val="00646082"/>
    <w:rsid w:val="00650A29"/>
    <w:rsid w:val="0065109E"/>
    <w:rsid w:val="0065192F"/>
    <w:rsid w:val="00652402"/>
    <w:rsid w:val="0065277D"/>
    <w:rsid w:val="00653E10"/>
    <w:rsid w:val="006540B3"/>
    <w:rsid w:val="00654184"/>
    <w:rsid w:val="00654CB6"/>
    <w:rsid w:val="00655513"/>
    <w:rsid w:val="006559DD"/>
    <w:rsid w:val="00655A31"/>
    <w:rsid w:val="0065703B"/>
    <w:rsid w:val="006601D0"/>
    <w:rsid w:val="00660B8D"/>
    <w:rsid w:val="00661BB9"/>
    <w:rsid w:val="0066277E"/>
    <w:rsid w:val="006627F6"/>
    <w:rsid w:val="00662CBD"/>
    <w:rsid w:val="0066317F"/>
    <w:rsid w:val="00663516"/>
    <w:rsid w:val="00663BA2"/>
    <w:rsid w:val="00663BA5"/>
    <w:rsid w:val="006644D3"/>
    <w:rsid w:val="0066462F"/>
    <w:rsid w:val="006664C2"/>
    <w:rsid w:val="006676F5"/>
    <w:rsid w:val="00667F43"/>
    <w:rsid w:val="00670186"/>
    <w:rsid w:val="00670B5A"/>
    <w:rsid w:val="00671B19"/>
    <w:rsid w:val="00672554"/>
    <w:rsid w:val="006725F8"/>
    <w:rsid w:val="00672AC2"/>
    <w:rsid w:val="00672F58"/>
    <w:rsid w:val="00674862"/>
    <w:rsid w:val="00676151"/>
    <w:rsid w:val="0067797D"/>
    <w:rsid w:val="00677DB8"/>
    <w:rsid w:val="00680BE7"/>
    <w:rsid w:val="0068112E"/>
    <w:rsid w:val="00682E3E"/>
    <w:rsid w:val="00683E1F"/>
    <w:rsid w:val="0068476A"/>
    <w:rsid w:val="00685687"/>
    <w:rsid w:val="00685F23"/>
    <w:rsid w:val="006865F7"/>
    <w:rsid w:val="00686F53"/>
    <w:rsid w:val="0069071E"/>
    <w:rsid w:val="00690F30"/>
    <w:rsid w:val="00691372"/>
    <w:rsid w:val="00691833"/>
    <w:rsid w:val="00691D6D"/>
    <w:rsid w:val="0069469F"/>
    <w:rsid w:val="00695166"/>
    <w:rsid w:val="00696BFF"/>
    <w:rsid w:val="00697604"/>
    <w:rsid w:val="006A01E3"/>
    <w:rsid w:val="006A04BA"/>
    <w:rsid w:val="006A0615"/>
    <w:rsid w:val="006A07FB"/>
    <w:rsid w:val="006A19EB"/>
    <w:rsid w:val="006A1D50"/>
    <w:rsid w:val="006A1F74"/>
    <w:rsid w:val="006A34A0"/>
    <w:rsid w:val="006A373C"/>
    <w:rsid w:val="006A3A6F"/>
    <w:rsid w:val="006A484C"/>
    <w:rsid w:val="006A5F8E"/>
    <w:rsid w:val="006A6F6B"/>
    <w:rsid w:val="006A77DD"/>
    <w:rsid w:val="006B053D"/>
    <w:rsid w:val="006B2EA0"/>
    <w:rsid w:val="006B3048"/>
    <w:rsid w:val="006B30EA"/>
    <w:rsid w:val="006B341E"/>
    <w:rsid w:val="006B5605"/>
    <w:rsid w:val="006B6F50"/>
    <w:rsid w:val="006B7078"/>
    <w:rsid w:val="006C197C"/>
    <w:rsid w:val="006C1C9C"/>
    <w:rsid w:val="006C1D82"/>
    <w:rsid w:val="006C212C"/>
    <w:rsid w:val="006C249B"/>
    <w:rsid w:val="006C2CB2"/>
    <w:rsid w:val="006C3176"/>
    <w:rsid w:val="006C431C"/>
    <w:rsid w:val="006C54AE"/>
    <w:rsid w:val="006C5A78"/>
    <w:rsid w:val="006C62EF"/>
    <w:rsid w:val="006C6AE2"/>
    <w:rsid w:val="006C7190"/>
    <w:rsid w:val="006C74A3"/>
    <w:rsid w:val="006C78B0"/>
    <w:rsid w:val="006D009C"/>
    <w:rsid w:val="006D01D0"/>
    <w:rsid w:val="006D05ED"/>
    <w:rsid w:val="006D1920"/>
    <w:rsid w:val="006D1EAC"/>
    <w:rsid w:val="006D25F1"/>
    <w:rsid w:val="006D3953"/>
    <w:rsid w:val="006D4D92"/>
    <w:rsid w:val="006D553B"/>
    <w:rsid w:val="006D684D"/>
    <w:rsid w:val="006D6E83"/>
    <w:rsid w:val="006D7BF5"/>
    <w:rsid w:val="006D7F21"/>
    <w:rsid w:val="006E0829"/>
    <w:rsid w:val="006E0C6D"/>
    <w:rsid w:val="006E18E6"/>
    <w:rsid w:val="006E1F2C"/>
    <w:rsid w:val="006E20C3"/>
    <w:rsid w:val="006E3354"/>
    <w:rsid w:val="006E3DA8"/>
    <w:rsid w:val="006E6479"/>
    <w:rsid w:val="006E65FD"/>
    <w:rsid w:val="006E70D3"/>
    <w:rsid w:val="006E713C"/>
    <w:rsid w:val="006E7629"/>
    <w:rsid w:val="006E7E97"/>
    <w:rsid w:val="006F088B"/>
    <w:rsid w:val="006F08F4"/>
    <w:rsid w:val="006F0E6E"/>
    <w:rsid w:val="006F1BFF"/>
    <w:rsid w:val="006F1C41"/>
    <w:rsid w:val="006F264C"/>
    <w:rsid w:val="006F433D"/>
    <w:rsid w:val="007006E1"/>
    <w:rsid w:val="00700FFD"/>
    <w:rsid w:val="0070222E"/>
    <w:rsid w:val="00702354"/>
    <w:rsid w:val="00702F97"/>
    <w:rsid w:val="00703BA5"/>
    <w:rsid w:val="0070445D"/>
    <w:rsid w:val="007049E0"/>
    <w:rsid w:val="00704B89"/>
    <w:rsid w:val="00704FFE"/>
    <w:rsid w:val="00705450"/>
    <w:rsid w:val="00705720"/>
    <w:rsid w:val="00707D3C"/>
    <w:rsid w:val="007100A4"/>
    <w:rsid w:val="0071032C"/>
    <w:rsid w:val="0071137E"/>
    <w:rsid w:val="007114C9"/>
    <w:rsid w:val="007129DA"/>
    <w:rsid w:val="007130C0"/>
    <w:rsid w:val="00713A1E"/>
    <w:rsid w:val="00713F15"/>
    <w:rsid w:val="007145F3"/>
    <w:rsid w:val="0071479B"/>
    <w:rsid w:val="00715B7C"/>
    <w:rsid w:val="007166F1"/>
    <w:rsid w:val="007167EC"/>
    <w:rsid w:val="00716A1A"/>
    <w:rsid w:val="00716BE6"/>
    <w:rsid w:val="00716BF8"/>
    <w:rsid w:val="00717AB3"/>
    <w:rsid w:val="00720A7B"/>
    <w:rsid w:val="00720C2E"/>
    <w:rsid w:val="00721465"/>
    <w:rsid w:val="00721942"/>
    <w:rsid w:val="007221C1"/>
    <w:rsid w:val="00722B22"/>
    <w:rsid w:val="007241A3"/>
    <w:rsid w:val="00725199"/>
    <w:rsid w:val="00725C1F"/>
    <w:rsid w:val="007269C4"/>
    <w:rsid w:val="00726E46"/>
    <w:rsid w:val="0072706E"/>
    <w:rsid w:val="00730EE3"/>
    <w:rsid w:val="007310A3"/>
    <w:rsid w:val="007313D1"/>
    <w:rsid w:val="0073147D"/>
    <w:rsid w:val="00731804"/>
    <w:rsid w:val="00732770"/>
    <w:rsid w:val="00733198"/>
    <w:rsid w:val="00733500"/>
    <w:rsid w:val="00734E05"/>
    <w:rsid w:val="00736F17"/>
    <w:rsid w:val="007372A2"/>
    <w:rsid w:val="00737512"/>
    <w:rsid w:val="0073779F"/>
    <w:rsid w:val="00737E3C"/>
    <w:rsid w:val="00740125"/>
    <w:rsid w:val="0074040B"/>
    <w:rsid w:val="00740F21"/>
    <w:rsid w:val="00742027"/>
    <w:rsid w:val="00742EAE"/>
    <w:rsid w:val="00743EB4"/>
    <w:rsid w:val="00744327"/>
    <w:rsid w:val="00746047"/>
    <w:rsid w:val="00746103"/>
    <w:rsid w:val="0074694E"/>
    <w:rsid w:val="00747DD5"/>
    <w:rsid w:val="00747F17"/>
    <w:rsid w:val="00750033"/>
    <w:rsid w:val="00750989"/>
    <w:rsid w:val="007524AC"/>
    <w:rsid w:val="00753562"/>
    <w:rsid w:val="00753A41"/>
    <w:rsid w:val="00753BA9"/>
    <w:rsid w:val="00755474"/>
    <w:rsid w:val="00756ADC"/>
    <w:rsid w:val="007609B3"/>
    <w:rsid w:val="007614BB"/>
    <w:rsid w:val="007624D1"/>
    <w:rsid w:val="007626B4"/>
    <w:rsid w:val="007634CF"/>
    <w:rsid w:val="00764224"/>
    <w:rsid w:val="0076501C"/>
    <w:rsid w:val="00765A46"/>
    <w:rsid w:val="00765DF9"/>
    <w:rsid w:val="00765F47"/>
    <w:rsid w:val="00766221"/>
    <w:rsid w:val="007672CA"/>
    <w:rsid w:val="00767CFB"/>
    <w:rsid w:val="007709C0"/>
    <w:rsid w:val="00770B30"/>
    <w:rsid w:val="00770C1D"/>
    <w:rsid w:val="00770D32"/>
    <w:rsid w:val="0077100A"/>
    <w:rsid w:val="00771195"/>
    <w:rsid w:val="007722D8"/>
    <w:rsid w:val="00772488"/>
    <w:rsid w:val="00772946"/>
    <w:rsid w:val="00772E92"/>
    <w:rsid w:val="00772EA4"/>
    <w:rsid w:val="007730BE"/>
    <w:rsid w:val="00773BD8"/>
    <w:rsid w:val="00773E3D"/>
    <w:rsid w:val="007740AF"/>
    <w:rsid w:val="0077437A"/>
    <w:rsid w:val="00774FAB"/>
    <w:rsid w:val="00775050"/>
    <w:rsid w:val="0077571E"/>
    <w:rsid w:val="00775DEF"/>
    <w:rsid w:val="0077653B"/>
    <w:rsid w:val="007773DD"/>
    <w:rsid w:val="00777F61"/>
    <w:rsid w:val="00780590"/>
    <w:rsid w:val="007809C3"/>
    <w:rsid w:val="00781145"/>
    <w:rsid w:val="007834BF"/>
    <w:rsid w:val="00783554"/>
    <w:rsid w:val="007844DA"/>
    <w:rsid w:val="00784BF1"/>
    <w:rsid w:val="007859AD"/>
    <w:rsid w:val="0078655A"/>
    <w:rsid w:val="007868AD"/>
    <w:rsid w:val="007876C1"/>
    <w:rsid w:val="00790A4A"/>
    <w:rsid w:val="00790EC3"/>
    <w:rsid w:val="00790F62"/>
    <w:rsid w:val="00791B18"/>
    <w:rsid w:val="00791D99"/>
    <w:rsid w:val="00792160"/>
    <w:rsid w:val="00792271"/>
    <w:rsid w:val="00792E41"/>
    <w:rsid w:val="00793212"/>
    <w:rsid w:val="00793414"/>
    <w:rsid w:val="00794789"/>
    <w:rsid w:val="00795E43"/>
    <w:rsid w:val="00795EA7"/>
    <w:rsid w:val="00796318"/>
    <w:rsid w:val="00796D96"/>
    <w:rsid w:val="00797883"/>
    <w:rsid w:val="00797B1A"/>
    <w:rsid w:val="007A0466"/>
    <w:rsid w:val="007A180F"/>
    <w:rsid w:val="007A21AB"/>
    <w:rsid w:val="007A2CAD"/>
    <w:rsid w:val="007A31E2"/>
    <w:rsid w:val="007A37D7"/>
    <w:rsid w:val="007A3A78"/>
    <w:rsid w:val="007A3F8D"/>
    <w:rsid w:val="007A4E58"/>
    <w:rsid w:val="007A4EDB"/>
    <w:rsid w:val="007A6AB2"/>
    <w:rsid w:val="007A6E3B"/>
    <w:rsid w:val="007A7003"/>
    <w:rsid w:val="007A7517"/>
    <w:rsid w:val="007B0AD2"/>
    <w:rsid w:val="007B2026"/>
    <w:rsid w:val="007B27B0"/>
    <w:rsid w:val="007B27D7"/>
    <w:rsid w:val="007B2DB2"/>
    <w:rsid w:val="007B2E9D"/>
    <w:rsid w:val="007B2EC0"/>
    <w:rsid w:val="007B2F6B"/>
    <w:rsid w:val="007B2FF2"/>
    <w:rsid w:val="007B3DF4"/>
    <w:rsid w:val="007B58F8"/>
    <w:rsid w:val="007B63D5"/>
    <w:rsid w:val="007B6923"/>
    <w:rsid w:val="007B6F03"/>
    <w:rsid w:val="007C07DB"/>
    <w:rsid w:val="007C0DD9"/>
    <w:rsid w:val="007C39DA"/>
    <w:rsid w:val="007C6551"/>
    <w:rsid w:val="007C7B0C"/>
    <w:rsid w:val="007C7DD3"/>
    <w:rsid w:val="007D017B"/>
    <w:rsid w:val="007D11EF"/>
    <w:rsid w:val="007D15DF"/>
    <w:rsid w:val="007D1C5A"/>
    <w:rsid w:val="007D244D"/>
    <w:rsid w:val="007D4120"/>
    <w:rsid w:val="007D4363"/>
    <w:rsid w:val="007D5D25"/>
    <w:rsid w:val="007D61E8"/>
    <w:rsid w:val="007D638A"/>
    <w:rsid w:val="007D6D84"/>
    <w:rsid w:val="007D775E"/>
    <w:rsid w:val="007D7F70"/>
    <w:rsid w:val="007E2286"/>
    <w:rsid w:val="007E2F36"/>
    <w:rsid w:val="007E39A4"/>
    <w:rsid w:val="007E3EF2"/>
    <w:rsid w:val="007E4A2C"/>
    <w:rsid w:val="007E4CB3"/>
    <w:rsid w:val="007E5D2D"/>
    <w:rsid w:val="007E62F3"/>
    <w:rsid w:val="007E662F"/>
    <w:rsid w:val="007E6D43"/>
    <w:rsid w:val="007E79DD"/>
    <w:rsid w:val="007F2090"/>
    <w:rsid w:val="007F2863"/>
    <w:rsid w:val="007F351A"/>
    <w:rsid w:val="007F3F2E"/>
    <w:rsid w:val="007F51BC"/>
    <w:rsid w:val="007F71DF"/>
    <w:rsid w:val="007F7B4B"/>
    <w:rsid w:val="007F7F80"/>
    <w:rsid w:val="00803E5F"/>
    <w:rsid w:val="008040EC"/>
    <w:rsid w:val="00804468"/>
    <w:rsid w:val="00804AD9"/>
    <w:rsid w:val="00805318"/>
    <w:rsid w:val="00806616"/>
    <w:rsid w:val="008076BD"/>
    <w:rsid w:val="008078B6"/>
    <w:rsid w:val="0080792A"/>
    <w:rsid w:val="00807BF7"/>
    <w:rsid w:val="00811318"/>
    <w:rsid w:val="00811398"/>
    <w:rsid w:val="00811A9C"/>
    <w:rsid w:val="00812481"/>
    <w:rsid w:val="00812D76"/>
    <w:rsid w:val="00812E92"/>
    <w:rsid w:val="00813846"/>
    <w:rsid w:val="00814971"/>
    <w:rsid w:val="008160A4"/>
    <w:rsid w:val="00816C0F"/>
    <w:rsid w:val="008173F9"/>
    <w:rsid w:val="00817BC0"/>
    <w:rsid w:val="008209C7"/>
    <w:rsid w:val="0082144C"/>
    <w:rsid w:val="00821EA0"/>
    <w:rsid w:val="0082222D"/>
    <w:rsid w:val="00823A42"/>
    <w:rsid w:val="00824745"/>
    <w:rsid w:val="008261F6"/>
    <w:rsid w:val="00826969"/>
    <w:rsid w:val="00826BA3"/>
    <w:rsid w:val="008274CE"/>
    <w:rsid w:val="00827BB4"/>
    <w:rsid w:val="00827E4E"/>
    <w:rsid w:val="00830DFA"/>
    <w:rsid w:val="0083199C"/>
    <w:rsid w:val="0083236C"/>
    <w:rsid w:val="00832879"/>
    <w:rsid w:val="008332C5"/>
    <w:rsid w:val="0083374D"/>
    <w:rsid w:val="00834133"/>
    <w:rsid w:val="0083499C"/>
    <w:rsid w:val="00835E4D"/>
    <w:rsid w:val="008366DA"/>
    <w:rsid w:val="008369BD"/>
    <w:rsid w:val="00836B09"/>
    <w:rsid w:val="00837CA4"/>
    <w:rsid w:val="00840B47"/>
    <w:rsid w:val="00842499"/>
    <w:rsid w:val="008426C5"/>
    <w:rsid w:val="00843023"/>
    <w:rsid w:val="00843236"/>
    <w:rsid w:val="008439C4"/>
    <w:rsid w:val="0084475B"/>
    <w:rsid w:val="0084508A"/>
    <w:rsid w:val="0084575F"/>
    <w:rsid w:val="00845E13"/>
    <w:rsid w:val="00846601"/>
    <w:rsid w:val="00846750"/>
    <w:rsid w:val="00847F33"/>
    <w:rsid w:val="00850491"/>
    <w:rsid w:val="00850DA1"/>
    <w:rsid w:val="00851381"/>
    <w:rsid w:val="00851829"/>
    <w:rsid w:val="0085190B"/>
    <w:rsid w:val="00851F45"/>
    <w:rsid w:val="008530B3"/>
    <w:rsid w:val="0085337A"/>
    <w:rsid w:val="00853D9C"/>
    <w:rsid w:val="00854B5E"/>
    <w:rsid w:val="00854CEF"/>
    <w:rsid w:val="0085507C"/>
    <w:rsid w:val="008560AD"/>
    <w:rsid w:val="00857909"/>
    <w:rsid w:val="00860CD2"/>
    <w:rsid w:val="008611BC"/>
    <w:rsid w:val="008611BE"/>
    <w:rsid w:val="008619FC"/>
    <w:rsid w:val="00861A77"/>
    <w:rsid w:val="00861F51"/>
    <w:rsid w:val="00862AD6"/>
    <w:rsid w:val="00862EB9"/>
    <w:rsid w:val="00863F4A"/>
    <w:rsid w:val="008652B3"/>
    <w:rsid w:val="0086723E"/>
    <w:rsid w:val="00867341"/>
    <w:rsid w:val="008679E7"/>
    <w:rsid w:val="00867CF4"/>
    <w:rsid w:val="0087003B"/>
    <w:rsid w:val="008716A5"/>
    <w:rsid w:val="00871FD9"/>
    <w:rsid w:val="00872965"/>
    <w:rsid w:val="00872F91"/>
    <w:rsid w:val="00872FEE"/>
    <w:rsid w:val="0087385C"/>
    <w:rsid w:val="0087448C"/>
    <w:rsid w:val="00874E5B"/>
    <w:rsid w:val="00875CE3"/>
    <w:rsid w:val="00875FD4"/>
    <w:rsid w:val="00876615"/>
    <w:rsid w:val="00876F00"/>
    <w:rsid w:val="00876F62"/>
    <w:rsid w:val="008816A9"/>
    <w:rsid w:val="0088276E"/>
    <w:rsid w:val="00882F68"/>
    <w:rsid w:val="00883569"/>
    <w:rsid w:val="00884354"/>
    <w:rsid w:val="008844FB"/>
    <w:rsid w:val="00884716"/>
    <w:rsid w:val="00884CFA"/>
    <w:rsid w:val="008859EE"/>
    <w:rsid w:val="00886EA3"/>
    <w:rsid w:val="00890902"/>
    <w:rsid w:val="00890BDE"/>
    <w:rsid w:val="00891189"/>
    <w:rsid w:val="00891743"/>
    <w:rsid w:val="00892D9D"/>
    <w:rsid w:val="00893413"/>
    <w:rsid w:val="0089381F"/>
    <w:rsid w:val="00893DC1"/>
    <w:rsid w:val="0089410C"/>
    <w:rsid w:val="008949AE"/>
    <w:rsid w:val="008953B0"/>
    <w:rsid w:val="00895B3A"/>
    <w:rsid w:val="00896230"/>
    <w:rsid w:val="0089698E"/>
    <w:rsid w:val="008978E2"/>
    <w:rsid w:val="00897D9F"/>
    <w:rsid w:val="008A00F8"/>
    <w:rsid w:val="008A0B4E"/>
    <w:rsid w:val="008A1787"/>
    <w:rsid w:val="008A17F2"/>
    <w:rsid w:val="008A1B34"/>
    <w:rsid w:val="008A300C"/>
    <w:rsid w:val="008A361D"/>
    <w:rsid w:val="008A4E6D"/>
    <w:rsid w:val="008A5019"/>
    <w:rsid w:val="008A5280"/>
    <w:rsid w:val="008A5783"/>
    <w:rsid w:val="008A6B89"/>
    <w:rsid w:val="008A7A24"/>
    <w:rsid w:val="008A7D43"/>
    <w:rsid w:val="008B0980"/>
    <w:rsid w:val="008B1024"/>
    <w:rsid w:val="008B1AB1"/>
    <w:rsid w:val="008B1D2C"/>
    <w:rsid w:val="008B2279"/>
    <w:rsid w:val="008B235C"/>
    <w:rsid w:val="008B2863"/>
    <w:rsid w:val="008B32A8"/>
    <w:rsid w:val="008B4892"/>
    <w:rsid w:val="008B4935"/>
    <w:rsid w:val="008C066F"/>
    <w:rsid w:val="008C1318"/>
    <w:rsid w:val="008C1D53"/>
    <w:rsid w:val="008C23A4"/>
    <w:rsid w:val="008C3BAD"/>
    <w:rsid w:val="008C43A6"/>
    <w:rsid w:val="008C5036"/>
    <w:rsid w:val="008C5071"/>
    <w:rsid w:val="008C55DE"/>
    <w:rsid w:val="008C5C1E"/>
    <w:rsid w:val="008C73C2"/>
    <w:rsid w:val="008C79F4"/>
    <w:rsid w:val="008D03A9"/>
    <w:rsid w:val="008D15A3"/>
    <w:rsid w:val="008D1DE1"/>
    <w:rsid w:val="008D2810"/>
    <w:rsid w:val="008D2D60"/>
    <w:rsid w:val="008D2E0B"/>
    <w:rsid w:val="008D2F5E"/>
    <w:rsid w:val="008D44FF"/>
    <w:rsid w:val="008D467F"/>
    <w:rsid w:val="008D6E6D"/>
    <w:rsid w:val="008E1F91"/>
    <w:rsid w:val="008E1F98"/>
    <w:rsid w:val="008E2785"/>
    <w:rsid w:val="008E35CE"/>
    <w:rsid w:val="008E4118"/>
    <w:rsid w:val="008E438E"/>
    <w:rsid w:val="008E5B26"/>
    <w:rsid w:val="008E604A"/>
    <w:rsid w:val="008E71E1"/>
    <w:rsid w:val="008E7269"/>
    <w:rsid w:val="008E75AE"/>
    <w:rsid w:val="008E7CC8"/>
    <w:rsid w:val="008F01EC"/>
    <w:rsid w:val="008F1A13"/>
    <w:rsid w:val="008F1B74"/>
    <w:rsid w:val="008F3333"/>
    <w:rsid w:val="008F3529"/>
    <w:rsid w:val="008F3F1E"/>
    <w:rsid w:val="008F4EB2"/>
    <w:rsid w:val="008F6AD9"/>
    <w:rsid w:val="008F75A5"/>
    <w:rsid w:val="009000DB"/>
    <w:rsid w:val="00901447"/>
    <w:rsid w:val="00901BF8"/>
    <w:rsid w:val="009028BD"/>
    <w:rsid w:val="009038A8"/>
    <w:rsid w:val="00903908"/>
    <w:rsid w:val="0090537D"/>
    <w:rsid w:val="00906622"/>
    <w:rsid w:val="0090705F"/>
    <w:rsid w:val="0091038D"/>
    <w:rsid w:val="00910B2B"/>
    <w:rsid w:val="00910E92"/>
    <w:rsid w:val="00910F66"/>
    <w:rsid w:val="009117C6"/>
    <w:rsid w:val="00911B0C"/>
    <w:rsid w:val="00912C38"/>
    <w:rsid w:val="00913FC4"/>
    <w:rsid w:val="009148FB"/>
    <w:rsid w:val="00914BF0"/>
    <w:rsid w:val="009156E6"/>
    <w:rsid w:val="00915E18"/>
    <w:rsid w:val="00916004"/>
    <w:rsid w:val="009166DC"/>
    <w:rsid w:val="0091712E"/>
    <w:rsid w:val="00917D80"/>
    <w:rsid w:val="00920758"/>
    <w:rsid w:val="00920D35"/>
    <w:rsid w:val="00920DC3"/>
    <w:rsid w:val="00921C3A"/>
    <w:rsid w:val="00921CE6"/>
    <w:rsid w:val="009220A2"/>
    <w:rsid w:val="009224A3"/>
    <w:rsid w:val="00922A80"/>
    <w:rsid w:val="00922D76"/>
    <w:rsid w:val="0092322C"/>
    <w:rsid w:val="00924A6D"/>
    <w:rsid w:val="00924D77"/>
    <w:rsid w:val="00925B08"/>
    <w:rsid w:val="00925F86"/>
    <w:rsid w:val="00926678"/>
    <w:rsid w:val="009266F9"/>
    <w:rsid w:val="00927E62"/>
    <w:rsid w:val="00930AF2"/>
    <w:rsid w:val="00930DB2"/>
    <w:rsid w:val="00930E1F"/>
    <w:rsid w:val="00931418"/>
    <w:rsid w:val="00931F28"/>
    <w:rsid w:val="00933151"/>
    <w:rsid w:val="0093343A"/>
    <w:rsid w:val="009340EA"/>
    <w:rsid w:val="00934254"/>
    <w:rsid w:val="009344D8"/>
    <w:rsid w:val="009357F9"/>
    <w:rsid w:val="0093757A"/>
    <w:rsid w:val="0094159A"/>
    <w:rsid w:val="0094183D"/>
    <w:rsid w:val="0094237C"/>
    <w:rsid w:val="00942718"/>
    <w:rsid w:val="009440E1"/>
    <w:rsid w:val="00945130"/>
    <w:rsid w:val="00946384"/>
    <w:rsid w:val="009476C0"/>
    <w:rsid w:val="0094772A"/>
    <w:rsid w:val="0095285C"/>
    <w:rsid w:val="00954E10"/>
    <w:rsid w:val="00954F98"/>
    <w:rsid w:val="00956223"/>
    <w:rsid w:val="00960503"/>
    <w:rsid w:val="00962833"/>
    <w:rsid w:val="009628EA"/>
    <w:rsid w:val="00962A23"/>
    <w:rsid w:val="0096314B"/>
    <w:rsid w:val="00963DB1"/>
    <w:rsid w:val="00963ED4"/>
    <w:rsid w:val="00964098"/>
    <w:rsid w:val="00965434"/>
    <w:rsid w:val="00965BE3"/>
    <w:rsid w:val="009674E9"/>
    <w:rsid w:val="009675EF"/>
    <w:rsid w:val="0096788B"/>
    <w:rsid w:val="00967AA6"/>
    <w:rsid w:val="00967C7B"/>
    <w:rsid w:val="00967EF7"/>
    <w:rsid w:val="009703A8"/>
    <w:rsid w:val="0097057A"/>
    <w:rsid w:val="009708D4"/>
    <w:rsid w:val="00970BAE"/>
    <w:rsid w:val="00971480"/>
    <w:rsid w:val="0097295F"/>
    <w:rsid w:val="009747EE"/>
    <w:rsid w:val="00974D48"/>
    <w:rsid w:val="009753DF"/>
    <w:rsid w:val="0097560C"/>
    <w:rsid w:val="00975C08"/>
    <w:rsid w:val="00976AED"/>
    <w:rsid w:val="0097753D"/>
    <w:rsid w:val="00980158"/>
    <w:rsid w:val="009807DF"/>
    <w:rsid w:val="009834CF"/>
    <w:rsid w:val="009839C3"/>
    <w:rsid w:val="0098435B"/>
    <w:rsid w:val="0098453B"/>
    <w:rsid w:val="009850EC"/>
    <w:rsid w:val="0098610D"/>
    <w:rsid w:val="00986715"/>
    <w:rsid w:val="0098677C"/>
    <w:rsid w:val="009875AE"/>
    <w:rsid w:val="009905F1"/>
    <w:rsid w:val="009911C2"/>
    <w:rsid w:val="00991518"/>
    <w:rsid w:val="00991A10"/>
    <w:rsid w:val="00993D44"/>
    <w:rsid w:val="00993F0B"/>
    <w:rsid w:val="00994301"/>
    <w:rsid w:val="0099432A"/>
    <w:rsid w:val="00995427"/>
    <w:rsid w:val="0099570A"/>
    <w:rsid w:val="00995AA5"/>
    <w:rsid w:val="009964AE"/>
    <w:rsid w:val="00996F1D"/>
    <w:rsid w:val="00996FFB"/>
    <w:rsid w:val="00997BB1"/>
    <w:rsid w:val="009A0BFB"/>
    <w:rsid w:val="009A18DB"/>
    <w:rsid w:val="009A1C8F"/>
    <w:rsid w:val="009A1ECA"/>
    <w:rsid w:val="009A371D"/>
    <w:rsid w:val="009A431F"/>
    <w:rsid w:val="009A4715"/>
    <w:rsid w:val="009A4CE0"/>
    <w:rsid w:val="009A6F4D"/>
    <w:rsid w:val="009A72F7"/>
    <w:rsid w:val="009A7378"/>
    <w:rsid w:val="009A7745"/>
    <w:rsid w:val="009B038C"/>
    <w:rsid w:val="009B055C"/>
    <w:rsid w:val="009B1009"/>
    <w:rsid w:val="009B1310"/>
    <w:rsid w:val="009B1396"/>
    <w:rsid w:val="009B2010"/>
    <w:rsid w:val="009B21F5"/>
    <w:rsid w:val="009B23D1"/>
    <w:rsid w:val="009B30E0"/>
    <w:rsid w:val="009B4325"/>
    <w:rsid w:val="009B596A"/>
    <w:rsid w:val="009B5F1B"/>
    <w:rsid w:val="009B6014"/>
    <w:rsid w:val="009B66BE"/>
    <w:rsid w:val="009B6BD2"/>
    <w:rsid w:val="009B730D"/>
    <w:rsid w:val="009B7553"/>
    <w:rsid w:val="009B7ABD"/>
    <w:rsid w:val="009B7B5D"/>
    <w:rsid w:val="009C0068"/>
    <w:rsid w:val="009C1333"/>
    <w:rsid w:val="009C13EA"/>
    <w:rsid w:val="009C159E"/>
    <w:rsid w:val="009C5578"/>
    <w:rsid w:val="009C615D"/>
    <w:rsid w:val="009C62C4"/>
    <w:rsid w:val="009C6635"/>
    <w:rsid w:val="009C6654"/>
    <w:rsid w:val="009C68D7"/>
    <w:rsid w:val="009C77B5"/>
    <w:rsid w:val="009D3E5F"/>
    <w:rsid w:val="009D4192"/>
    <w:rsid w:val="009D4359"/>
    <w:rsid w:val="009D4AC0"/>
    <w:rsid w:val="009D50B9"/>
    <w:rsid w:val="009D52D3"/>
    <w:rsid w:val="009E14C9"/>
    <w:rsid w:val="009E1E8B"/>
    <w:rsid w:val="009E2628"/>
    <w:rsid w:val="009E2832"/>
    <w:rsid w:val="009E3301"/>
    <w:rsid w:val="009E3686"/>
    <w:rsid w:val="009E3F27"/>
    <w:rsid w:val="009E42D8"/>
    <w:rsid w:val="009E45F6"/>
    <w:rsid w:val="009E4AD8"/>
    <w:rsid w:val="009E64B8"/>
    <w:rsid w:val="009E6B62"/>
    <w:rsid w:val="009E73FB"/>
    <w:rsid w:val="009E74B3"/>
    <w:rsid w:val="009E7A41"/>
    <w:rsid w:val="009F0D51"/>
    <w:rsid w:val="009F1A50"/>
    <w:rsid w:val="009F347B"/>
    <w:rsid w:val="009F4D05"/>
    <w:rsid w:val="009F4E60"/>
    <w:rsid w:val="009F5278"/>
    <w:rsid w:val="009F7563"/>
    <w:rsid w:val="009F79EC"/>
    <w:rsid w:val="009F7AEA"/>
    <w:rsid w:val="009F7DED"/>
    <w:rsid w:val="00A006BD"/>
    <w:rsid w:val="00A01024"/>
    <w:rsid w:val="00A01FC8"/>
    <w:rsid w:val="00A024BA"/>
    <w:rsid w:val="00A03772"/>
    <w:rsid w:val="00A03C3E"/>
    <w:rsid w:val="00A04E2B"/>
    <w:rsid w:val="00A04FC4"/>
    <w:rsid w:val="00A06320"/>
    <w:rsid w:val="00A06E01"/>
    <w:rsid w:val="00A07379"/>
    <w:rsid w:val="00A11108"/>
    <w:rsid w:val="00A11CF8"/>
    <w:rsid w:val="00A121CF"/>
    <w:rsid w:val="00A121EC"/>
    <w:rsid w:val="00A12AA8"/>
    <w:rsid w:val="00A13223"/>
    <w:rsid w:val="00A13E95"/>
    <w:rsid w:val="00A1420D"/>
    <w:rsid w:val="00A14472"/>
    <w:rsid w:val="00A146F4"/>
    <w:rsid w:val="00A162CE"/>
    <w:rsid w:val="00A163F3"/>
    <w:rsid w:val="00A20BA5"/>
    <w:rsid w:val="00A21AA3"/>
    <w:rsid w:val="00A22845"/>
    <w:rsid w:val="00A24776"/>
    <w:rsid w:val="00A24DEE"/>
    <w:rsid w:val="00A26462"/>
    <w:rsid w:val="00A26795"/>
    <w:rsid w:val="00A27C16"/>
    <w:rsid w:val="00A27EF1"/>
    <w:rsid w:val="00A3130A"/>
    <w:rsid w:val="00A31785"/>
    <w:rsid w:val="00A32088"/>
    <w:rsid w:val="00A33C33"/>
    <w:rsid w:val="00A34663"/>
    <w:rsid w:val="00A34935"/>
    <w:rsid w:val="00A35500"/>
    <w:rsid w:val="00A369DF"/>
    <w:rsid w:val="00A36D37"/>
    <w:rsid w:val="00A37563"/>
    <w:rsid w:val="00A426BB"/>
    <w:rsid w:val="00A4289A"/>
    <w:rsid w:val="00A43893"/>
    <w:rsid w:val="00A442F8"/>
    <w:rsid w:val="00A44669"/>
    <w:rsid w:val="00A46456"/>
    <w:rsid w:val="00A46549"/>
    <w:rsid w:val="00A46A6E"/>
    <w:rsid w:val="00A46FE4"/>
    <w:rsid w:val="00A474A8"/>
    <w:rsid w:val="00A47A5D"/>
    <w:rsid w:val="00A47D66"/>
    <w:rsid w:val="00A47E33"/>
    <w:rsid w:val="00A51185"/>
    <w:rsid w:val="00A52D00"/>
    <w:rsid w:val="00A52DDA"/>
    <w:rsid w:val="00A531A8"/>
    <w:rsid w:val="00A5320B"/>
    <w:rsid w:val="00A53584"/>
    <w:rsid w:val="00A537EB"/>
    <w:rsid w:val="00A55AD0"/>
    <w:rsid w:val="00A55C4C"/>
    <w:rsid w:val="00A55FA9"/>
    <w:rsid w:val="00A56472"/>
    <w:rsid w:val="00A5689C"/>
    <w:rsid w:val="00A568EA"/>
    <w:rsid w:val="00A57EE7"/>
    <w:rsid w:val="00A612A4"/>
    <w:rsid w:val="00A6183B"/>
    <w:rsid w:val="00A61F4B"/>
    <w:rsid w:val="00A62872"/>
    <w:rsid w:val="00A62D7F"/>
    <w:rsid w:val="00A6383A"/>
    <w:rsid w:val="00A63FC2"/>
    <w:rsid w:val="00A640F4"/>
    <w:rsid w:val="00A66E3F"/>
    <w:rsid w:val="00A67C99"/>
    <w:rsid w:val="00A7054C"/>
    <w:rsid w:val="00A711A7"/>
    <w:rsid w:val="00A718A4"/>
    <w:rsid w:val="00A71DBA"/>
    <w:rsid w:val="00A72509"/>
    <w:rsid w:val="00A73C6B"/>
    <w:rsid w:val="00A748A3"/>
    <w:rsid w:val="00A757D8"/>
    <w:rsid w:val="00A77164"/>
    <w:rsid w:val="00A77647"/>
    <w:rsid w:val="00A77876"/>
    <w:rsid w:val="00A77ED0"/>
    <w:rsid w:val="00A802A1"/>
    <w:rsid w:val="00A802CB"/>
    <w:rsid w:val="00A8059B"/>
    <w:rsid w:val="00A81146"/>
    <w:rsid w:val="00A82DF3"/>
    <w:rsid w:val="00A83200"/>
    <w:rsid w:val="00A8338C"/>
    <w:rsid w:val="00A837A5"/>
    <w:rsid w:val="00A83B92"/>
    <w:rsid w:val="00A84270"/>
    <w:rsid w:val="00A84526"/>
    <w:rsid w:val="00A845B2"/>
    <w:rsid w:val="00A84FC4"/>
    <w:rsid w:val="00A852AF"/>
    <w:rsid w:val="00A86F83"/>
    <w:rsid w:val="00A87327"/>
    <w:rsid w:val="00A878DE"/>
    <w:rsid w:val="00A90394"/>
    <w:rsid w:val="00A903D9"/>
    <w:rsid w:val="00A90888"/>
    <w:rsid w:val="00A915DB"/>
    <w:rsid w:val="00A91811"/>
    <w:rsid w:val="00A93A94"/>
    <w:rsid w:val="00A95B8A"/>
    <w:rsid w:val="00A95B8E"/>
    <w:rsid w:val="00A96AAA"/>
    <w:rsid w:val="00A971D5"/>
    <w:rsid w:val="00A97541"/>
    <w:rsid w:val="00A97FC5"/>
    <w:rsid w:val="00AA026D"/>
    <w:rsid w:val="00AA0CDE"/>
    <w:rsid w:val="00AA0E03"/>
    <w:rsid w:val="00AA1953"/>
    <w:rsid w:val="00AA19A0"/>
    <w:rsid w:val="00AA1E07"/>
    <w:rsid w:val="00AA2071"/>
    <w:rsid w:val="00AA2895"/>
    <w:rsid w:val="00AA3B02"/>
    <w:rsid w:val="00AA3C0F"/>
    <w:rsid w:val="00AA44CF"/>
    <w:rsid w:val="00AA5BDE"/>
    <w:rsid w:val="00AA5DFC"/>
    <w:rsid w:val="00AA6680"/>
    <w:rsid w:val="00AA6BBB"/>
    <w:rsid w:val="00AA6D71"/>
    <w:rsid w:val="00AA6EB1"/>
    <w:rsid w:val="00AA73F4"/>
    <w:rsid w:val="00AB0054"/>
    <w:rsid w:val="00AB0760"/>
    <w:rsid w:val="00AB1457"/>
    <w:rsid w:val="00AB1BC0"/>
    <w:rsid w:val="00AB1C24"/>
    <w:rsid w:val="00AB1E3C"/>
    <w:rsid w:val="00AB2197"/>
    <w:rsid w:val="00AB4386"/>
    <w:rsid w:val="00AB4668"/>
    <w:rsid w:val="00AB4D5E"/>
    <w:rsid w:val="00AB51B6"/>
    <w:rsid w:val="00AB5554"/>
    <w:rsid w:val="00AB5DB4"/>
    <w:rsid w:val="00AB6D64"/>
    <w:rsid w:val="00AB7005"/>
    <w:rsid w:val="00AB75D1"/>
    <w:rsid w:val="00AB7731"/>
    <w:rsid w:val="00AC1964"/>
    <w:rsid w:val="00AC1CB2"/>
    <w:rsid w:val="00AC2102"/>
    <w:rsid w:val="00AC2735"/>
    <w:rsid w:val="00AC308E"/>
    <w:rsid w:val="00AC34CB"/>
    <w:rsid w:val="00AC3832"/>
    <w:rsid w:val="00AC48EE"/>
    <w:rsid w:val="00AC50F6"/>
    <w:rsid w:val="00AC51F1"/>
    <w:rsid w:val="00AC531E"/>
    <w:rsid w:val="00AC543A"/>
    <w:rsid w:val="00AC543E"/>
    <w:rsid w:val="00AC5AF6"/>
    <w:rsid w:val="00AC636C"/>
    <w:rsid w:val="00AC7BCD"/>
    <w:rsid w:val="00AC7F6B"/>
    <w:rsid w:val="00AD053C"/>
    <w:rsid w:val="00AD0D08"/>
    <w:rsid w:val="00AD1311"/>
    <w:rsid w:val="00AD1437"/>
    <w:rsid w:val="00AD265A"/>
    <w:rsid w:val="00AD278A"/>
    <w:rsid w:val="00AD2DA3"/>
    <w:rsid w:val="00AD3CDF"/>
    <w:rsid w:val="00AD4529"/>
    <w:rsid w:val="00AD515E"/>
    <w:rsid w:val="00AD5F42"/>
    <w:rsid w:val="00AD70C5"/>
    <w:rsid w:val="00AD72AD"/>
    <w:rsid w:val="00AD744C"/>
    <w:rsid w:val="00AD7F67"/>
    <w:rsid w:val="00AE0350"/>
    <w:rsid w:val="00AE17A6"/>
    <w:rsid w:val="00AE322F"/>
    <w:rsid w:val="00AE3E1E"/>
    <w:rsid w:val="00AE436A"/>
    <w:rsid w:val="00AE529C"/>
    <w:rsid w:val="00AE52CA"/>
    <w:rsid w:val="00AE57C4"/>
    <w:rsid w:val="00AE5E66"/>
    <w:rsid w:val="00AE7CD8"/>
    <w:rsid w:val="00AF019B"/>
    <w:rsid w:val="00AF0367"/>
    <w:rsid w:val="00AF11D9"/>
    <w:rsid w:val="00AF1EE9"/>
    <w:rsid w:val="00AF221D"/>
    <w:rsid w:val="00AF2C53"/>
    <w:rsid w:val="00AF348C"/>
    <w:rsid w:val="00AF36FA"/>
    <w:rsid w:val="00AF3C03"/>
    <w:rsid w:val="00AF497C"/>
    <w:rsid w:val="00AF51DC"/>
    <w:rsid w:val="00AF5DAA"/>
    <w:rsid w:val="00AF6736"/>
    <w:rsid w:val="00AF67AC"/>
    <w:rsid w:val="00AF67B7"/>
    <w:rsid w:val="00AF6D21"/>
    <w:rsid w:val="00AF6D5D"/>
    <w:rsid w:val="00AF76AC"/>
    <w:rsid w:val="00AF7932"/>
    <w:rsid w:val="00AF7E2D"/>
    <w:rsid w:val="00B008B9"/>
    <w:rsid w:val="00B010ED"/>
    <w:rsid w:val="00B01186"/>
    <w:rsid w:val="00B012CB"/>
    <w:rsid w:val="00B0204B"/>
    <w:rsid w:val="00B02269"/>
    <w:rsid w:val="00B0256F"/>
    <w:rsid w:val="00B02A13"/>
    <w:rsid w:val="00B02B87"/>
    <w:rsid w:val="00B044A4"/>
    <w:rsid w:val="00B04A07"/>
    <w:rsid w:val="00B0504B"/>
    <w:rsid w:val="00B0764F"/>
    <w:rsid w:val="00B076CC"/>
    <w:rsid w:val="00B108F2"/>
    <w:rsid w:val="00B11277"/>
    <w:rsid w:val="00B127D4"/>
    <w:rsid w:val="00B12F83"/>
    <w:rsid w:val="00B13692"/>
    <w:rsid w:val="00B13AED"/>
    <w:rsid w:val="00B151B3"/>
    <w:rsid w:val="00B15393"/>
    <w:rsid w:val="00B16AC3"/>
    <w:rsid w:val="00B16C06"/>
    <w:rsid w:val="00B1707E"/>
    <w:rsid w:val="00B20108"/>
    <w:rsid w:val="00B20486"/>
    <w:rsid w:val="00B2080D"/>
    <w:rsid w:val="00B20DC1"/>
    <w:rsid w:val="00B2459A"/>
    <w:rsid w:val="00B24D08"/>
    <w:rsid w:val="00B24ECC"/>
    <w:rsid w:val="00B25283"/>
    <w:rsid w:val="00B256A5"/>
    <w:rsid w:val="00B26315"/>
    <w:rsid w:val="00B26478"/>
    <w:rsid w:val="00B26582"/>
    <w:rsid w:val="00B26732"/>
    <w:rsid w:val="00B27536"/>
    <w:rsid w:val="00B33D3E"/>
    <w:rsid w:val="00B33FB0"/>
    <w:rsid w:val="00B34418"/>
    <w:rsid w:val="00B34DDC"/>
    <w:rsid w:val="00B35AB3"/>
    <w:rsid w:val="00B36664"/>
    <w:rsid w:val="00B36781"/>
    <w:rsid w:val="00B3688B"/>
    <w:rsid w:val="00B36A5C"/>
    <w:rsid w:val="00B378DF"/>
    <w:rsid w:val="00B37B56"/>
    <w:rsid w:val="00B37D00"/>
    <w:rsid w:val="00B40DFC"/>
    <w:rsid w:val="00B42558"/>
    <w:rsid w:val="00B434E4"/>
    <w:rsid w:val="00B43A87"/>
    <w:rsid w:val="00B4456E"/>
    <w:rsid w:val="00B44EF0"/>
    <w:rsid w:val="00B4674C"/>
    <w:rsid w:val="00B476C0"/>
    <w:rsid w:val="00B47ED3"/>
    <w:rsid w:val="00B5066E"/>
    <w:rsid w:val="00B506F4"/>
    <w:rsid w:val="00B51BC7"/>
    <w:rsid w:val="00B5207C"/>
    <w:rsid w:val="00B5253A"/>
    <w:rsid w:val="00B52EE7"/>
    <w:rsid w:val="00B53344"/>
    <w:rsid w:val="00B53C00"/>
    <w:rsid w:val="00B54124"/>
    <w:rsid w:val="00B54711"/>
    <w:rsid w:val="00B551D8"/>
    <w:rsid w:val="00B55B73"/>
    <w:rsid w:val="00B561D7"/>
    <w:rsid w:val="00B5657B"/>
    <w:rsid w:val="00B56EE8"/>
    <w:rsid w:val="00B619B0"/>
    <w:rsid w:val="00B625BE"/>
    <w:rsid w:val="00B62A60"/>
    <w:rsid w:val="00B6348A"/>
    <w:rsid w:val="00B63588"/>
    <w:rsid w:val="00B64115"/>
    <w:rsid w:val="00B64B5C"/>
    <w:rsid w:val="00B6676F"/>
    <w:rsid w:val="00B66E78"/>
    <w:rsid w:val="00B6733A"/>
    <w:rsid w:val="00B673C5"/>
    <w:rsid w:val="00B676C8"/>
    <w:rsid w:val="00B70024"/>
    <w:rsid w:val="00B70D08"/>
    <w:rsid w:val="00B71D5B"/>
    <w:rsid w:val="00B720D7"/>
    <w:rsid w:val="00B73619"/>
    <w:rsid w:val="00B73CEB"/>
    <w:rsid w:val="00B73EF6"/>
    <w:rsid w:val="00B74463"/>
    <w:rsid w:val="00B75523"/>
    <w:rsid w:val="00B75994"/>
    <w:rsid w:val="00B75AC8"/>
    <w:rsid w:val="00B77351"/>
    <w:rsid w:val="00B8153C"/>
    <w:rsid w:val="00B82525"/>
    <w:rsid w:val="00B82D7F"/>
    <w:rsid w:val="00B82F5D"/>
    <w:rsid w:val="00B83DBE"/>
    <w:rsid w:val="00B8417A"/>
    <w:rsid w:val="00B844DC"/>
    <w:rsid w:val="00B84736"/>
    <w:rsid w:val="00B85E18"/>
    <w:rsid w:val="00B86248"/>
    <w:rsid w:val="00B868F0"/>
    <w:rsid w:val="00B86EAB"/>
    <w:rsid w:val="00B87D2A"/>
    <w:rsid w:val="00B87DA9"/>
    <w:rsid w:val="00B87F1B"/>
    <w:rsid w:val="00B912A1"/>
    <w:rsid w:val="00B923BD"/>
    <w:rsid w:val="00B92AD4"/>
    <w:rsid w:val="00B92B25"/>
    <w:rsid w:val="00B93D76"/>
    <w:rsid w:val="00B956FF"/>
    <w:rsid w:val="00B969A9"/>
    <w:rsid w:val="00B97B7E"/>
    <w:rsid w:val="00BA0866"/>
    <w:rsid w:val="00BA1BA8"/>
    <w:rsid w:val="00BA2C88"/>
    <w:rsid w:val="00BA3AD2"/>
    <w:rsid w:val="00BA4911"/>
    <w:rsid w:val="00BA4D26"/>
    <w:rsid w:val="00BA4F80"/>
    <w:rsid w:val="00BA682C"/>
    <w:rsid w:val="00BA6EAC"/>
    <w:rsid w:val="00BA7F18"/>
    <w:rsid w:val="00BB0277"/>
    <w:rsid w:val="00BB0E75"/>
    <w:rsid w:val="00BB22BD"/>
    <w:rsid w:val="00BB25D6"/>
    <w:rsid w:val="00BB2F1E"/>
    <w:rsid w:val="00BB4DAF"/>
    <w:rsid w:val="00BB502C"/>
    <w:rsid w:val="00BB78B7"/>
    <w:rsid w:val="00BC0865"/>
    <w:rsid w:val="00BC1746"/>
    <w:rsid w:val="00BC28AD"/>
    <w:rsid w:val="00BC2F94"/>
    <w:rsid w:val="00BC37FE"/>
    <w:rsid w:val="00BC554D"/>
    <w:rsid w:val="00BC66C6"/>
    <w:rsid w:val="00BC7458"/>
    <w:rsid w:val="00BC7865"/>
    <w:rsid w:val="00BD0449"/>
    <w:rsid w:val="00BD0BA6"/>
    <w:rsid w:val="00BD1B95"/>
    <w:rsid w:val="00BD2267"/>
    <w:rsid w:val="00BD3276"/>
    <w:rsid w:val="00BD35A5"/>
    <w:rsid w:val="00BD3A4B"/>
    <w:rsid w:val="00BD3D0A"/>
    <w:rsid w:val="00BD49BD"/>
    <w:rsid w:val="00BD65FF"/>
    <w:rsid w:val="00BE080E"/>
    <w:rsid w:val="00BE0C58"/>
    <w:rsid w:val="00BE170A"/>
    <w:rsid w:val="00BE3A1D"/>
    <w:rsid w:val="00BE52C5"/>
    <w:rsid w:val="00BE5631"/>
    <w:rsid w:val="00BE578E"/>
    <w:rsid w:val="00BE5CEA"/>
    <w:rsid w:val="00BE6050"/>
    <w:rsid w:val="00BE6614"/>
    <w:rsid w:val="00BE7828"/>
    <w:rsid w:val="00BE7B18"/>
    <w:rsid w:val="00BE7EF9"/>
    <w:rsid w:val="00BF14CF"/>
    <w:rsid w:val="00BF1688"/>
    <w:rsid w:val="00BF1846"/>
    <w:rsid w:val="00BF2250"/>
    <w:rsid w:val="00BF3BD2"/>
    <w:rsid w:val="00BF3E05"/>
    <w:rsid w:val="00BF4C2B"/>
    <w:rsid w:val="00BF5B34"/>
    <w:rsid w:val="00BF6370"/>
    <w:rsid w:val="00BF674E"/>
    <w:rsid w:val="00BF762D"/>
    <w:rsid w:val="00C004AA"/>
    <w:rsid w:val="00C00D5D"/>
    <w:rsid w:val="00C01702"/>
    <w:rsid w:val="00C017FC"/>
    <w:rsid w:val="00C03426"/>
    <w:rsid w:val="00C03B69"/>
    <w:rsid w:val="00C04A3B"/>
    <w:rsid w:val="00C04D6A"/>
    <w:rsid w:val="00C053E6"/>
    <w:rsid w:val="00C11A0F"/>
    <w:rsid w:val="00C132F5"/>
    <w:rsid w:val="00C14624"/>
    <w:rsid w:val="00C150ED"/>
    <w:rsid w:val="00C15349"/>
    <w:rsid w:val="00C156F0"/>
    <w:rsid w:val="00C162E5"/>
    <w:rsid w:val="00C16AA2"/>
    <w:rsid w:val="00C16BDC"/>
    <w:rsid w:val="00C17E3F"/>
    <w:rsid w:val="00C20947"/>
    <w:rsid w:val="00C20D5E"/>
    <w:rsid w:val="00C21175"/>
    <w:rsid w:val="00C2163E"/>
    <w:rsid w:val="00C229A3"/>
    <w:rsid w:val="00C2319D"/>
    <w:rsid w:val="00C236BE"/>
    <w:rsid w:val="00C24100"/>
    <w:rsid w:val="00C24716"/>
    <w:rsid w:val="00C25326"/>
    <w:rsid w:val="00C25BAC"/>
    <w:rsid w:val="00C26706"/>
    <w:rsid w:val="00C2696A"/>
    <w:rsid w:val="00C26B86"/>
    <w:rsid w:val="00C306AF"/>
    <w:rsid w:val="00C30C4A"/>
    <w:rsid w:val="00C31D2C"/>
    <w:rsid w:val="00C322E0"/>
    <w:rsid w:val="00C32B25"/>
    <w:rsid w:val="00C3308F"/>
    <w:rsid w:val="00C3362E"/>
    <w:rsid w:val="00C34984"/>
    <w:rsid w:val="00C3553C"/>
    <w:rsid w:val="00C37EAB"/>
    <w:rsid w:val="00C37FE3"/>
    <w:rsid w:val="00C400D8"/>
    <w:rsid w:val="00C4114C"/>
    <w:rsid w:val="00C4197D"/>
    <w:rsid w:val="00C41AF6"/>
    <w:rsid w:val="00C4227C"/>
    <w:rsid w:val="00C43C3B"/>
    <w:rsid w:val="00C4419B"/>
    <w:rsid w:val="00C4547E"/>
    <w:rsid w:val="00C45E3E"/>
    <w:rsid w:val="00C4652D"/>
    <w:rsid w:val="00C46DD3"/>
    <w:rsid w:val="00C47703"/>
    <w:rsid w:val="00C47AAB"/>
    <w:rsid w:val="00C47DE7"/>
    <w:rsid w:val="00C50528"/>
    <w:rsid w:val="00C507C5"/>
    <w:rsid w:val="00C50B92"/>
    <w:rsid w:val="00C52452"/>
    <w:rsid w:val="00C53016"/>
    <w:rsid w:val="00C542FE"/>
    <w:rsid w:val="00C5769D"/>
    <w:rsid w:val="00C5796E"/>
    <w:rsid w:val="00C57FDA"/>
    <w:rsid w:val="00C60965"/>
    <w:rsid w:val="00C6140D"/>
    <w:rsid w:val="00C6175D"/>
    <w:rsid w:val="00C6242B"/>
    <w:rsid w:val="00C63CE3"/>
    <w:rsid w:val="00C63D15"/>
    <w:rsid w:val="00C64ECC"/>
    <w:rsid w:val="00C65616"/>
    <w:rsid w:val="00C65FB9"/>
    <w:rsid w:val="00C70164"/>
    <w:rsid w:val="00C70B4B"/>
    <w:rsid w:val="00C70F56"/>
    <w:rsid w:val="00C7233B"/>
    <w:rsid w:val="00C73909"/>
    <w:rsid w:val="00C754D0"/>
    <w:rsid w:val="00C755D2"/>
    <w:rsid w:val="00C75B3E"/>
    <w:rsid w:val="00C75C5B"/>
    <w:rsid w:val="00C760A4"/>
    <w:rsid w:val="00C777ED"/>
    <w:rsid w:val="00C77BD0"/>
    <w:rsid w:val="00C802EC"/>
    <w:rsid w:val="00C80686"/>
    <w:rsid w:val="00C80A9A"/>
    <w:rsid w:val="00C810B8"/>
    <w:rsid w:val="00C81849"/>
    <w:rsid w:val="00C82DD5"/>
    <w:rsid w:val="00C82E1E"/>
    <w:rsid w:val="00C8329E"/>
    <w:rsid w:val="00C84B97"/>
    <w:rsid w:val="00C85ADA"/>
    <w:rsid w:val="00C862B3"/>
    <w:rsid w:val="00C87341"/>
    <w:rsid w:val="00C87479"/>
    <w:rsid w:val="00C90027"/>
    <w:rsid w:val="00C914FF"/>
    <w:rsid w:val="00C92267"/>
    <w:rsid w:val="00C92FE3"/>
    <w:rsid w:val="00C93370"/>
    <w:rsid w:val="00C93666"/>
    <w:rsid w:val="00C93DD7"/>
    <w:rsid w:val="00C9551B"/>
    <w:rsid w:val="00C970D7"/>
    <w:rsid w:val="00CA0AE3"/>
    <w:rsid w:val="00CA1AA3"/>
    <w:rsid w:val="00CA400D"/>
    <w:rsid w:val="00CA4D84"/>
    <w:rsid w:val="00CA4ECA"/>
    <w:rsid w:val="00CA4FC0"/>
    <w:rsid w:val="00CA539D"/>
    <w:rsid w:val="00CA6448"/>
    <w:rsid w:val="00CA6472"/>
    <w:rsid w:val="00CA6AF4"/>
    <w:rsid w:val="00CA7501"/>
    <w:rsid w:val="00CA757C"/>
    <w:rsid w:val="00CB19BB"/>
    <w:rsid w:val="00CB1B68"/>
    <w:rsid w:val="00CB1F09"/>
    <w:rsid w:val="00CB1FF9"/>
    <w:rsid w:val="00CB23B2"/>
    <w:rsid w:val="00CB2809"/>
    <w:rsid w:val="00CB429B"/>
    <w:rsid w:val="00CB4750"/>
    <w:rsid w:val="00CB4C98"/>
    <w:rsid w:val="00CB4CBE"/>
    <w:rsid w:val="00CB5105"/>
    <w:rsid w:val="00CB512C"/>
    <w:rsid w:val="00CB5263"/>
    <w:rsid w:val="00CB6818"/>
    <w:rsid w:val="00CC1200"/>
    <w:rsid w:val="00CC19D6"/>
    <w:rsid w:val="00CC2B84"/>
    <w:rsid w:val="00CC35CF"/>
    <w:rsid w:val="00CC4027"/>
    <w:rsid w:val="00CC42EF"/>
    <w:rsid w:val="00CC4642"/>
    <w:rsid w:val="00CC4FEF"/>
    <w:rsid w:val="00CC5DB2"/>
    <w:rsid w:val="00CC5FBB"/>
    <w:rsid w:val="00CC695D"/>
    <w:rsid w:val="00CC6B7A"/>
    <w:rsid w:val="00CC6CB1"/>
    <w:rsid w:val="00CC74D8"/>
    <w:rsid w:val="00CD0029"/>
    <w:rsid w:val="00CD0850"/>
    <w:rsid w:val="00CD0925"/>
    <w:rsid w:val="00CD0989"/>
    <w:rsid w:val="00CD13E0"/>
    <w:rsid w:val="00CD147A"/>
    <w:rsid w:val="00CD1592"/>
    <w:rsid w:val="00CD2435"/>
    <w:rsid w:val="00CD2B9E"/>
    <w:rsid w:val="00CD2BE6"/>
    <w:rsid w:val="00CD2FDA"/>
    <w:rsid w:val="00CD39B1"/>
    <w:rsid w:val="00CD4D6F"/>
    <w:rsid w:val="00CD5885"/>
    <w:rsid w:val="00CD6313"/>
    <w:rsid w:val="00CD63B2"/>
    <w:rsid w:val="00CD6823"/>
    <w:rsid w:val="00CD6C23"/>
    <w:rsid w:val="00CD6FEE"/>
    <w:rsid w:val="00CD765C"/>
    <w:rsid w:val="00CE0492"/>
    <w:rsid w:val="00CE1FBA"/>
    <w:rsid w:val="00CE20D8"/>
    <w:rsid w:val="00CE31CA"/>
    <w:rsid w:val="00CE337B"/>
    <w:rsid w:val="00CE3B55"/>
    <w:rsid w:val="00CE3D59"/>
    <w:rsid w:val="00CE3DD3"/>
    <w:rsid w:val="00CE40AA"/>
    <w:rsid w:val="00CE47A7"/>
    <w:rsid w:val="00CE508A"/>
    <w:rsid w:val="00CE552D"/>
    <w:rsid w:val="00CE58F3"/>
    <w:rsid w:val="00CE7304"/>
    <w:rsid w:val="00CF0700"/>
    <w:rsid w:val="00CF0B3A"/>
    <w:rsid w:val="00CF14CD"/>
    <w:rsid w:val="00CF1B1C"/>
    <w:rsid w:val="00CF2774"/>
    <w:rsid w:val="00CF29B1"/>
    <w:rsid w:val="00CF3A0A"/>
    <w:rsid w:val="00CF4474"/>
    <w:rsid w:val="00CF4970"/>
    <w:rsid w:val="00CF607F"/>
    <w:rsid w:val="00CF622B"/>
    <w:rsid w:val="00CF6862"/>
    <w:rsid w:val="00CF6878"/>
    <w:rsid w:val="00CF796C"/>
    <w:rsid w:val="00D0036A"/>
    <w:rsid w:val="00D0067E"/>
    <w:rsid w:val="00D006FE"/>
    <w:rsid w:val="00D00904"/>
    <w:rsid w:val="00D0236F"/>
    <w:rsid w:val="00D02449"/>
    <w:rsid w:val="00D026E7"/>
    <w:rsid w:val="00D0298F"/>
    <w:rsid w:val="00D03D6E"/>
    <w:rsid w:val="00D04731"/>
    <w:rsid w:val="00D04B46"/>
    <w:rsid w:val="00D056B9"/>
    <w:rsid w:val="00D05B8C"/>
    <w:rsid w:val="00D05EA3"/>
    <w:rsid w:val="00D06E18"/>
    <w:rsid w:val="00D11133"/>
    <w:rsid w:val="00D12313"/>
    <w:rsid w:val="00D12460"/>
    <w:rsid w:val="00D13742"/>
    <w:rsid w:val="00D13AF6"/>
    <w:rsid w:val="00D14E3B"/>
    <w:rsid w:val="00D158ED"/>
    <w:rsid w:val="00D16B10"/>
    <w:rsid w:val="00D17541"/>
    <w:rsid w:val="00D17E53"/>
    <w:rsid w:val="00D20E74"/>
    <w:rsid w:val="00D21598"/>
    <w:rsid w:val="00D218AF"/>
    <w:rsid w:val="00D220EC"/>
    <w:rsid w:val="00D241D7"/>
    <w:rsid w:val="00D24510"/>
    <w:rsid w:val="00D25C79"/>
    <w:rsid w:val="00D26678"/>
    <w:rsid w:val="00D26B31"/>
    <w:rsid w:val="00D277FC"/>
    <w:rsid w:val="00D30702"/>
    <w:rsid w:val="00D309EB"/>
    <w:rsid w:val="00D30DA0"/>
    <w:rsid w:val="00D320DA"/>
    <w:rsid w:val="00D33CDE"/>
    <w:rsid w:val="00D34523"/>
    <w:rsid w:val="00D34FBC"/>
    <w:rsid w:val="00D34FC7"/>
    <w:rsid w:val="00D35977"/>
    <w:rsid w:val="00D368D5"/>
    <w:rsid w:val="00D369DC"/>
    <w:rsid w:val="00D36FD2"/>
    <w:rsid w:val="00D37026"/>
    <w:rsid w:val="00D3708E"/>
    <w:rsid w:val="00D37649"/>
    <w:rsid w:val="00D41225"/>
    <w:rsid w:val="00D42292"/>
    <w:rsid w:val="00D4229F"/>
    <w:rsid w:val="00D4347A"/>
    <w:rsid w:val="00D43A5C"/>
    <w:rsid w:val="00D449CB"/>
    <w:rsid w:val="00D44C06"/>
    <w:rsid w:val="00D44CBB"/>
    <w:rsid w:val="00D455F3"/>
    <w:rsid w:val="00D46784"/>
    <w:rsid w:val="00D46A2D"/>
    <w:rsid w:val="00D46D70"/>
    <w:rsid w:val="00D47643"/>
    <w:rsid w:val="00D47DF0"/>
    <w:rsid w:val="00D505DB"/>
    <w:rsid w:val="00D50AA8"/>
    <w:rsid w:val="00D518AE"/>
    <w:rsid w:val="00D51CB2"/>
    <w:rsid w:val="00D52A57"/>
    <w:rsid w:val="00D540A4"/>
    <w:rsid w:val="00D54BA4"/>
    <w:rsid w:val="00D54F8E"/>
    <w:rsid w:val="00D5615E"/>
    <w:rsid w:val="00D5791B"/>
    <w:rsid w:val="00D57D83"/>
    <w:rsid w:val="00D60147"/>
    <w:rsid w:val="00D628A9"/>
    <w:rsid w:val="00D634C2"/>
    <w:rsid w:val="00D640B0"/>
    <w:rsid w:val="00D64D57"/>
    <w:rsid w:val="00D66DCE"/>
    <w:rsid w:val="00D71171"/>
    <w:rsid w:val="00D711B5"/>
    <w:rsid w:val="00D72B15"/>
    <w:rsid w:val="00D7321B"/>
    <w:rsid w:val="00D73378"/>
    <w:rsid w:val="00D7337D"/>
    <w:rsid w:val="00D734CF"/>
    <w:rsid w:val="00D7373B"/>
    <w:rsid w:val="00D73C2D"/>
    <w:rsid w:val="00D74E38"/>
    <w:rsid w:val="00D75431"/>
    <w:rsid w:val="00D75A97"/>
    <w:rsid w:val="00D75D62"/>
    <w:rsid w:val="00D767DE"/>
    <w:rsid w:val="00D768EA"/>
    <w:rsid w:val="00D77257"/>
    <w:rsid w:val="00D77A08"/>
    <w:rsid w:val="00D77F80"/>
    <w:rsid w:val="00D819D6"/>
    <w:rsid w:val="00D81A3E"/>
    <w:rsid w:val="00D8200C"/>
    <w:rsid w:val="00D827C6"/>
    <w:rsid w:val="00D8292A"/>
    <w:rsid w:val="00D82E45"/>
    <w:rsid w:val="00D82F0B"/>
    <w:rsid w:val="00D82F37"/>
    <w:rsid w:val="00D836A7"/>
    <w:rsid w:val="00D83A40"/>
    <w:rsid w:val="00D84B88"/>
    <w:rsid w:val="00D85F64"/>
    <w:rsid w:val="00D86DE7"/>
    <w:rsid w:val="00D8710B"/>
    <w:rsid w:val="00D873CC"/>
    <w:rsid w:val="00D87A11"/>
    <w:rsid w:val="00D9039C"/>
    <w:rsid w:val="00D915E3"/>
    <w:rsid w:val="00D91C47"/>
    <w:rsid w:val="00D91C7F"/>
    <w:rsid w:val="00D924F3"/>
    <w:rsid w:val="00D93B81"/>
    <w:rsid w:val="00D93E31"/>
    <w:rsid w:val="00D950EA"/>
    <w:rsid w:val="00D96717"/>
    <w:rsid w:val="00D97287"/>
    <w:rsid w:val="00DA08F4"/>
    <w:rsid w:val="00DA121A"/>
    <w:rsid w:val="00DA1BCD"/>
    <w:rsid w:val="00DA261A"/>
    <w:rsid w:val="00DA2FF6"/>
    <w:rsid w:val="00DA4CAF"/>
    <w:rsid w:val="00DA51F0"/>
    <w:rsid w:val="00DA587B"/>
    <w:rsid w:val="00DA5B84"/>
    <w:rsid w:val="00DA620C"/>
    <w:rsid w:val="00DA65A1"/>
    <w:rsid w:val="00DA67B1"/>
    <w:rsid w:val="00DA7127"/>
    <w:rsid w:val="00DA7AEE"/>
    <w:rsid w:val="00DA7D3D"/>
    <w:rsid w:val="00DB05A1"/>
    <w:rsid w:val="00DB08A6"/>
    <w:rsid w:val="00DB08DE"/>
    <w:rsid w:val="00DB0CFB"/>
    <w:rsid w:val="00DB1035"/>
    <w:rsid w:val="00DB16F8"/>
    <w:rsid w:val="00DB2006"/>
    <w:rsid w:val="00DB230F"/>
    <w:rsid w:val="00DB2F9F"/>
    <w:rsid w:val="00DB32C7"/>
    <w:rsid w:val="00DB56EC"/>
    <w:rsid w:val="00DB67AC"/>
    <w:rsid w:val="00DB6F87"/>
    <w:rsid w:val="00DB78E2"/>
    <w:rsid w:val="00DB7A0E"/>
    <w:rsid w:val="00DC0AA3"/>
    <w:rsid w:val="00DC11CF"/>
    <w:rsid w:val="00DC1735"/>
    <w:rsid w:val="00DC31BA"/>
    <w:rsid w:val="00DC47CE"/>
    <w:rsid w:val="00DC499D"/>
    <w:rsid w:val="00DC6CB8"/>
    <w:rsid w:val="00DC7197"/>
    <w:rsid w:val="00DC78F9"/>
    <w:rsid w:val="00DD034A"/>
    <w:rsid w:val="00DD0B38"/>
    <w:rsid w:val="00DD1354"/>
    <w:rsid w:val="00DD21A5"/>
    <w:rsid w:val="00DD2CFB"/>
    <w:rsid w:val="00DD3793"/>
    <w:rsid w:val="00DD3A40"/>
    <w:rsid w:val="00DD3EBA"/>
    <w:rsid w:val="00DD4C59"/>
    <w:rsid w:val="00DD5253"/>
    <w:rsid w:val="00DD5468"/>
    <w:rsid w:val="00DD5D9C"/>
    <w:rsid w:val="00DD665F"/>
    <w:rsid w:val="00DD6CDA"/>
    <w:rsid w:val="00DD6E19"/>
    <w:rsid w:val="00DD7772"/>
    <w:rsid w:val="00DD7D67"/>
    <w:rsid w:val="00DD7D77"/>
    <w:rsid w:val="00DE0763"/>
    <w:rsid w:val="00DE18E5"/>
    <w:rsid w:val="00DE1EAF"/>
    <w:rsid w:val="00DE2003"/>
    <w:rsid w:val="00DE3568"/>
    <w:rsid w:val="00DE3B4F"/>
    <w:rsid w:val="00DE55AF"/>
    <w:rsid w:val="00DE5BE1"/>
    <w:rsid w:val="00DE63A2"/>
    <w:rsid w:val="00DE75FC"/>
    <w:rsid w:val="00DE7F1C"/>
    <w:rsid w:val="00DE7F9C"/>
    <w:rsid w:val="00DF020E"/>
    <w:rsid w:val="00DF0782"/>
    <w:rsid w:val="00DF0B1E"/>
    <w:rsid w:val="00DF0CF3"/>
    <w:rsid w:val="00DF128F"/>
    <w:rsid w:val="00DF14E6"/>
    <w:rsid w:val="00DF1FDA"/>
    <w:rsid w:val="00DF2BDE"/>
    <w:rsid w:val="00DF400E"/>
    <w:rsid w:val="00DF433F"/>
    <w:rsid w:val="00DF44AD"/>
    <w:rsid w:val="00DF5808"/>
    <w:rsid w:val="00DF6578"/>
    <w:rsid w:val="00DF740F"/>
    <w:rsid w:val="00DF74A3"/>
    <w:rsid w:val="00DF77EC"/>
    <w:rsid w:val="00DF7F08"/>
    <w:rsid w:val="00E00626"/>
    <w:rsid w:val="00E0177B"/>
    <w:rsid w:val="00E01A61"/>
    <w:rsid w:val="00E02256"/>
    <w:rsid w:val="00E02B66"/>
    <w:rsid w:val="00E02D25"/>
    <w:rsid w:val="00E03FE3"/>
    <w:rsid w:val="00E04ABB"/>
    <w:rsid w:val="00E057C3"/>
    <w:rsid w:val="00E06CD9"/>
    <w:rsid w:val="00E10599"/>
    <w:rsid w:val="00E1240E"/>
    <w:rsid w:val="00E12A39"/>
    <w:rsid w:val="00E12FD0"/>
    <w:rsid w:val="00E13636"/>
    <w:rsid w:val="00E13857"/>
    <w:rsid w:val="00E13B22"/>
    <w:rsid w:val="00E14069"/>
    <w:rsid w:val="00E15E68"/>
    <w:rsid w:val="00E1633A"/>
    <w:rsid w:val="00E1637E"/>
    <w:rsid w:val="00E17760"/>
    <w:rsid w:val="00E17EF3"/>
    <w:rsid w:val="00E205ED"/>
    <w:rsid w:val="00E216A8"/>
    <w:rsid w:val="00E21DED"/>
    <w:rsid w:val="00E221BF"/>
    <w:rsid w:val="00E22DC8"/>
    <w:rsid w:val="00E234B8"/>
    <w:rsid w:val="00E23B07"/>
    <w:rsid w:val="00E2450E"/>
    <w:rsid w:val="00E24D02"/>
    <w:rsid w:val="00E24F6E"/>
    <w:rsid w:val="00E251BC"/>
    <w:rsid w:val="00E27420"/>
    <w:rsid w:val="00E27ECD"/>
    <w:rsid w:val="00E31FF2"/>
    <w:rsid w:val="00E32220"/>
    <w:rsid w:val="00E32462"/>
    <w:rsid w:val="00E3320A"/>
    <w:rsid w:val="00E3335B"/>
    <w:rsid w:val="00E3388D"/>
    <w:rsid w:val="00E35148"/>
    <w:rsid w:val="00E35815"/>
    <w:rsid w:val="00E35A6D"/>
    <w:rsid w:val="00E35A8D"/>
    <w:rsid w:val="00E362CA"/>
    <w:rsid w:val="00E36807"/>
    <w:rsid w:val="00E36F3E"/>
    <w:rsid w:val="00E409B1"/>
    <w:rsid w:val="00E4179A"/>
    <w:rsid w:val="00E4231E"/>
    <w:rsid w:val="00E4243F"/>
    <w:rsid w:val="00E4307B"/>
    <w:rsid w:val="00E43224"/>
    <w:rsid w:val="00E443D8"/>
    <w:rsid w:val="00E446CF"/>
    <w:rsid w:val="00E44897"/>
    <w:rsid w:val="00E44AD3"/>
    <w:rsid w:val="00E44BEA"/>
    <w:rsid w:val="00E4582B"/>
    <w:rsid w:val="00E45EFF"/>
    <w:rsid w:val="00E47057"/>
    <w:rsid w:val="00E47CB7"/>
    <w:rsid w:val="00E47D98"/>
    <w:rsid w:val="00E519A6"/>
    <w:rsid w:val="00E51C66"/>
    <w:rsid w:val="00E51C72"/>
    <w:rsid w:val="00E53167"/>
    <w:rsid w:val="00E53735"/>
    <w:rsid w:val="00E539FD"/>
    <w:rsid w:val="00E53FD9"/>
    <w:rsid w:val="00E54A13"/>
    <w:rsid w:val="00E54F9D"/>
    <w:rsid w:val="00E55189"/>
    <w:rsid w:val="00E561A8"/>
    <w:rsid w:val="00E56A40"/>
    <w:rsid w:val="00E56B5E"/>
    <w:rsid w:val="00E576BF"/>
    <w:rsid w:val="00E57A1D"/>
    <w:rsid w:val="00E608AD"/>
    <w:rsid w:val="00E61CF0"/>
    <w:rsid w:val="00E64255"/>
    <w:rsid w:val="00E64AF4"/>
    <w:rsid w:val="00E65648"/>
    <w:rsid w:val="00E65820"/>
    <w:rsid w:val="00E65B1E"/>
    <w:rsid w:val="00E663B7"/>
    <w:rsid w:val="00E665D7"/>
    <w:rsid w:val="00E66976"/>
    <w:rsid w:val="00E66C66"/>
    <w:rsid w:val="00E66CEB"/>
    <w:rsid w:val="00E67AA8"/>
    <w:rsid w:val="00E67F8F"/>
    <w:rsid w:val="00E67FE6"/>
    <w:rsid w:val="00E7026A"/>
    <w:rsid w:val="00E70623"/>
    <w:rsid w:val="00E7090C"/>
    <w:rsid w:val="00E718A3"/>
    <w:rsid w:val="00E72349"/>
    <w:rsid w:val="00E72796"/>
    <w:rsid w:val="00E72ADD"/>
    <w:rsid w:val="00E72C5C"/>
    <w:rsid w:val="00E73493"/>
    <w:rsid w:val="00E73E3A"/>
    <w:rsid w:val="00E7613F"/>
    <w:rsid w:val="00E76824"/>
    <w:rsid w:val="00E76DED"/>
    <w:rsid w:val="00E777B9"/>
    <w:rsid w:val="00E77C9D"/>
    <w:rsid w:val="00E77F32"/>
    <w:rsid w:val="00E77FB4"/>
    <w:rsid w:val="00E8173A"/>
    <w:rsid w:val="00E81782"/>
    <w:rsid w:val="00E81F15"/>
    <w:rsid w:val="00E83CDD"/>
    <w:rsid w:val="00E84035"/>
    <w:rsid w:val="00E84602"/>
    <w:rsid w:val="00E847A7"/>
    <w:rsid w:val="00E84D5F"/>
    <w:rsid w:val="00E85261"/>
    <w:rsid w:val="00E86723"/>
    <w:rsid w:val="00E86921"/>
    <w:rsid w:val="00E86CC3"/>
    <w:rsid w:val="00E87668"/>
    <w:rsid w:val="00E9056F"/>
    <w:rsid w:val="00E9058E"/>
    <w:rsid w:val="00E90853"/>
    <w:rsid w:val="00E9127E"/>
    <w:rsid w:val="00E93098"/>
    <w:rsid w:val="00E932F9"/>
    <w:rsid w:val="00E93791"/>
    <w:rsid w:val="00E93D7E"/>
    <w:rsid w:val="00E94B27"/>
    <w:rsid w:val="00E951A8"/>
    <w:rsid w:val="00E954CC"/>
    <w:rsid w:val="00E955B7"/>
    <w:rsid w:val="00E965E4"/>
    <w:rsid w:val="00E96A28"/>
    <w:rsid w:val="00E96C92"/>
    <w:rsid w:val="00E96E96"/>
    <w:rsid w:val="00E972E8"/>
    <w:rsid w:val="00E97605"/>
    <w:rsid w:val="00E979AF"/>
    <w:rsid w:val="00EA1800"/>
    <w:rsid w:val="00EA1D09"/>
    <w:rsid w:val="00EA1F16"/>
    <w:rsid w:val="00EA270E"/>
    <w:rsid w:val="00EA30D7"/>
    <w:rsid w:val="00EA410D"/>
    <w:rsid w:val="00EA4750"/>
    <w:rsid w:val="00EA587D"/>
    <w:rsid w:val="00EA69E5"/>
    <w:rsid w:val="00EA6AA8"/>
    <w:rsid w:val="00EA75BC"/>
    <w:rsid w:val="00EA7BFE"/>
    <w:rsid w:val="00EB0521"/>
    <w:rsid w:val="00EB126C"/>
    <w:rsid w:val="00EB1578"/>
    <w:rsid w:val="00EB23D8"/>
    <w:rsid w:val="00EB24D5"/>
    <w:rsid w:val="00EB268B"/>
    <w:rsid w:val="00EB2AA0"/>
    <w:rsid w:val="00EB2B31"/>
    <w:rsid w:val="00EB2B7D"/>
    <w:rsid w:val="00EB44DE"/>
    <w:rsid w:val="00EB4C84"/>
    <w:rsid w:val="00EB61E9"/>
    <w:rsid w:val="00EB620A"/>
    <w:rsid w:val="00EB7B5D"/>
    <w:rsid w:val="00EB7BD9"/>
    <w:rsid w:val="00EB7FF0"/>
    <w:rsid w:val="00EC1710"/>
    <w:rsid w:val="00EC2385"/>
    <w:rsid w:val="00EC344D"/>
    <w:rsid w:val="00EC3F0E"/>
    <w:rsid w:val="00EC4445"/>
    <w:rsid w:val="00EC5264"/>
    <w:rsid w:val="00EC59D0"/>
    <w:rsid w:val="00EC5AB3"/>
    <w:rsid w:val="00EC5B3E"/>
    <w:rsid w:val="00EC62AC"/>
    <w:rsid w:val="00EC6BA1"/>
    <w:rsid w:val="00EC6E4E"/>
    <w:rsid w:val="00EC74A1"/>
    <w:rsid w:val="00ED0C25"/>
    <w:rsid w:val="00ED11A7"/>
    <w:rsid w:val="00ED1AEE"/>
    <w:rsid w:val="00ED5F95"/>
    <w:rsid w:val="00ED6295"/>
    <w:rsid w:val="00ED72A7"/>
    <w:rsid w:val="00ED75C3"/>
    <w:rsid w:val="00ED793D"/>
    <w:rsid w:val="00ED7D52"/>
    <w:rsid w:val="00EE02CA"/>
    <w:rsid w:val="00EE0B10"/>
    <w:rsid w:val="00EE1A24"/>
    <w:rsid w:val="00EE1F26"/>
    <w:rsid w:val="00EE2D6C"/>
    <w:rsid w:val="00EE3341"/>
    <w:rsid w:val="00EE35DA"/>
    <w:rsid w:val="00EE443B"/>
    <w:rsid w:val="00EE5A42"/>
    <w:rsid w:val="00EE5BA9"/>
    <w:rsid w:val="00EE728C"/>
    <w:rsid w:val="00EF0A12"/>
    <w:rsid w:val="00EF157C"/>
    <w:rsid w:val="00EF1CD2"/>
    <w:rsid w:val="00EF2B6F"/>
    <w:rsid w:val="00EF2BAC"/>
    <w:rsid w:val="00EF4A7B"/>
    <w:rsid w:val="00EF4AA3"/>
    <w:rsid w:val="00EF5101"/>
    <w:rsid w:val="00EF5A24"/>
    <w:rsid w:val="00EF5C17"/>
    <w:rsid w:val="00EF6902"/>
    <w:rsid w:val="00EF6E0E"/>
    <w:rsid w:val="00EF710D"/>
    <w:rsid w:val="00EF762E"/>
    <w:rsid w:val="00EF7828"/>
    <w:rsid w:val="00EF7A67"/>
    <w:rsid w:val="00EF7E5D"/>
    <w:rsid w:val="00EF7FB4"/>
    <w:rsid w:val="00F01009"/>
    <w:rsid w:val="00F01FDA"/>
    <w:rsid w:val="00F02A98"/>
    <w:rsid w:val="00F02AEF"/>
    <w:rsid w:val="00F02F56"/>
    <w:rsid w:val="00F033B0"/>
    <w:rsid w:val="00F05539"/>
    <w:rsid w:val="00F06D1D"/>
    <w:rsid w:val="00F06E59"/>
    <w:rsid w:val="00F07451"/>
    <w:rsid w:val="00F0778E"/>
    <w:rsid w:val="00F077C5"/>
    <w:rsid w:val="00F07D2C"/>
    <w:rsid w:val="00F10060"/>
    <w:rsid w:val="00F10670"/>
    <w:rsid w:val="00F108DB"/>
    <w:rsid w:val="00F10AC0"/>
    <w:rsid w:val="00F112B0"/>
    <w:rsid w:val="00F11368"/>
    <w:rsid w:val="00F11962"/>
    <w:rsid w:val="00F11FCF"/>
    <w:rsid w:val="00F122CB"/>
    <w:rsid w:val="00F12FEA"/>
    <w:rsid w:val="00F174E5"/>
    <w:rsid w:val="00F177FA"/>
    <w:rsid w:val="00F21587"/>
    <w:rsid w:val="00F21820"/>
    <w:rsid w:val="00F22FD0"/>
    <w:rsid w:val="00F24069"/>
    <w:rsid w:val="00F24093"/>
    <w:rsid w:val="00F2610C"/>
    <w:rsid w:val="00F26D02"/>
    <w:rsid w:val="00F26D6A"/>
    <w:rsid w:val="00F30896"/>
    <w:rsid w:val="00F309AC"/>
    <w:rsid w:val="00F33E21"/>
    <w:rsid w:val="00F34102"/>
    <w:rsid w:val="00F34AC9"/>
    <w:rsid w:val="00F34CA1"/>
    <w:rsid w:val="00F34E64"/>
    <w:rsid w:val="00F35107"/>
    <w:rsid w:val="00F35751"/>
    <w:rsid w:val="00F37328"/>
    <w:rsid w:val="00F37408"/>
    <w:rsid w:val="00F40287"/>
    <w:rsid w:val="00F41D60"/>
    <w:rsid w:val="00F41EC3"/>
    <w:rsid w:val="00F4208F"/>
    <w:rsid w:val="00F4275C"/>
    <w:rsid w:val="00F4308B"/>
    <w:rsid w:val="00F431B4"/>
    <w:rsid w:val="00F44C83"/>
    <w:rsid w:val="00F45063"/>
    <w:rsid w:val="00F455C1"/>
    <w:rsid w:val="00F460D8"/>
    <w:rsid w:val="00F466FB"/>
    <w:rsid w:val="00F471FE"/>
    <w:rsid w:val="00F4770F"/>
    <w:rsid w:val="00F50B1C"/>
    <w:rsid w:val="00F50E18"/>
    <w:rsid w:val="00F51617"/>
    <w:rsid w:val="00F52AE1"/>
    <w:rsid w:val="00F52BB2"/>
    <w:rsid w:val="00F53657"/>
    <w:rsid w:val="00F55008"/>
    <w:rsid w:val="00F562F5"/>
    <w:rsid w:val="00F56453"/>
    <w:rsid w:val="00F566DE"/>
    <w:rsid w:val="00F566F5"/>
    <w:rsid w:val="00F56818"/>
    <w:rsid w:val="00F56BE6"/>
    <w:rsid w:val="00F56F10"/>
    <w:rsid w:val="00F56F41"/>
    <w:rsid w:val="00F603F5"/>
    <w:rsid w:val="00F60756"/>
    <w:rsid w:val="00F610BE"/>
    <w:rsid w:val="00F62131"/>
    <w:rsid w:val="00F62173"/>
    <w:rsid w:val="00F63A99"/>
    <w:rsid w:val="00F63AA9"/>
    <w:rsid w:val="00F63B76"/>
    <w:rsid w:val="00F643B7"/>
    <w:rsid w:val="00F650AB"/>
    <w:rsid w:val="00F66069"/>
    <w:rsid w:val="00F66140"/>
    <w:rsid w:val="00F668F1"/>
    <w:rsid w:val="00F6698B"/>
    <w:rsid w:val="00F67AE5"/>
    <w:rsid w:val="00F67FD0"/>
    <w:rsid w:val="00F72315"/>
    <w:rsid w:val="00F723D0"/>
    <w:rsid w:val="00F732D2"/>
    <w:rsid w:val="00F7379B"/>
    <w:rsid w:val="00F73AC3"/>
    <w:rsid w:val="00F74647"/>
    <w:rsid w:val="00F74A47"/>
    <w:rsid w:val="00F74B41"/>
    <w:rsid w:val="00F74B75"/>
    <w:rsid w:val="00F753BD"/>
    <w:rsid w:val="00F7558A"/>
    <w:rsid w:val="00F7575F"/>
    <w:rsid w:val="00F75B9F"/>
    <w:rsid w:val="00F76F1F"/>
    <w:rsid w:val="00F77457"/>
    <w:rsid w:val="00F774C1"/>
    <w:rsid w:val="00F8001C"/>
    <w:rsid w:val="00F80239"/>
    <w:rsid w:val="00F80D9E"/>
    <w:rsid w:val="00F819DC"/>
    <w:rsid w:val="00F82052"/>
    <w:rsid w:val="00F82560"/>
    <w:rsid w:val="00F836FA"/>
    <w:rsid w:val="00F83710"/>
    <w:rsid w:val="00F83B0B"/>
    <w:rsid w:val="00F84AAC"/>
    <w:rsid w:val="00F85239"/>
    <w:rsid w:val="00F8596C"/>
    <w:rsid w:val="00F85D7F"/>
    <w:rsid w:val="00F866C6"/>
    <w:rsid w:val="00F86FAF"/>
    <w:rsid w:val="00F8740F"/>
    <w:rsid w:val="00F87454"/>
    <w:rsid w:val="00F87C26"/>
    <w:rsid w:val="00F90CC1"/>
    <w:rsid w:val="00F935A9"/>
    <w:rsid w:val="00F93A9E"/>
    <w:rsid w:val="00F93D6C"/>
    <w:rsid w:val="00F94401"/>
    <w:rsid w:val="00F949A9"/>
    <w:rsid w:val="00F94B4C"/>
    <w:rsid w:val="00F951E2"/>
    <w:rsid w:val="00F95901"/>
    <w:rsid w:val="00F95CFC"/>
    <w:rsid w:val="00F95D6D"/>
    <w:rsid w:val="00F95E2D"/>
    <w:rsid w:val="00F96194"/>
    <w:rsid w:val="00F96A1F"/>
    <w:rsid w:val="00F96BD8"/>
    <w:rsid w:val="00FA1401"/>
    <w:rsid w:val="00FA153B"/>
    <w:rsid w:val="00FA1C95"/>
    <w:rsid w:val="00FA2A05"/>
    <w:rsid w:val="00FA2A83"/>
    <w:rsid w:val="00FA3831"/>
    <w:rsid w:val="00FA666F"/>
    <w:rsid w:val="00FA6D83"/>
    <w:rsid w:val="00FA7A35"/>
    <w:rsid w:val="00FB0255"/>
    <w:rsid w:val="00FB0B74"/>
    <w:rsid w:val="00FB10CF"/>
    <w:rsid w:val="00FB168D"/>
    <w:rsid w:val="00FB1840"/>
    <w:rsid w:val="00FB4107"/>
    <w:rsid w:val="00FB45BA"/>
    <w:rsid w:val="00FB4E2E"/>
    <w:rsid w:val="00FB51A8"/>
    <w:rsid w:val="00FB53A1"/>
    <w:rsid w:val="00FB53DD"/>
    <w:rsid w:val="00FB6A2F"/>
    <w:rsid w:val="00FB6ACA"/>
    <w:rsid w:val="00FB7116"/>
    <w:rsid w:val="00FB7D47"/>
    <w:rsid w:val="00FC061E"/>
    <w:rsid w:val="00FC06E4"/>
    <w:rsid w:val="00FC0C2E"/>
    <w:rsid w:val="00FC1823"/>
    <w:rsid w:val="00FC301B"/>
    <w:rsid w:val="00FC3247"/>
    <w:rsid w:val="00FC3EA5"/>
    <w:rsid w:val="00FC4B44"/>
    <w:rsid w:val="00FC4D10"/>
    <w:rsid w:val="00FC627C"/>
    <w:rsid w:val="00FC6291"/>
    <w:rsid w:val="00FC68B2"/>
    <w:rsid w:val="00FD016B"/>
    <w:rsid w:val="00FD05C4"/>
    <w:rsid w:val="00FD2486"/>
    <w:rsid w:val="00FD4281"/>
    <w:rsid w:val="00FD4FBF"/>
    <w:rsid w:val="00FD6049"/>
    <w:rsid w:val="00FD6674"/>
    <w:rsid w:val="00FD7432"/>
    <w:rsid w:val="00FD795E"/>
    <w:rsid w:val="00FD7B2F"/>
    <w:rsid w:val="00FD7C93"/>
    <w:rsid w:val="00FE036A"/>
    <w:rsid w:val="00FE3B97"/>
    <w:rsid w:val="00FE4049"/>
    <w:rsid w:val="00FE571B"/>
    <w:rsid w:val="00FE595E"/>
    <w:rsid w:val="00FE5E67"/>
    <w:rsid w:val="00FE6E98"/>
    <w:rsid w:val="00FF0C52"/>
    <w:rsid w:val="00FF4817"/>
    <w:rsid w:val="00FF5253"/>
    <w:rsid w:val="00FF5F6F"/>
    <w:rsid w:val="00FF6468"/>
    <w:rsid w:val="00FF6C29"/>
    <w:rsid w:val="00FF6C66"/>
    <w:rsid w:val="00FF6D14"/>
    <w:rsid w:val="00FF6EB9"/>
    <w:rsid w:val="00FF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D8"/>
    <w:rPr>
      <w:rFonts w:ascii="Arial" w:hAnsi="Arial" w:cs="Arial"/>
      <w:b/>
      <w:bCs/>
      <w:sz w:val="24"/>
      <w:szCs w:val="24"/>
    </w:rPr>
  </w:style>
  <w:style w:type="paragraph" w:styleId="Heading1">
    <w:name w:val="heading 1"/>
    <w:basedOn w:val="Normal"/>
    <w:next w:val="Normal"/>
    <w:link w:val="Heading1Char1"/>
    <w:uiPriority w:val="99"/>
    <w:qFormat/>
    <w:rsid w:val="00853D9C"/>
    <w:pPr>
      <w:keepNext/>
      <w:ind w:left="-720"/>
      <w:jc w:val="center"/>
      <w:outlineLvl w:val="0"/>
    </w:pPr>
    <w:rPr>
      <w:rFonts w:ascii="Times New Roman" w:hAnsi="Times New Roman" w:cs="Times New Roman"/>
      <w:color w:val="000000"/>
    </w:rPr>
  </w:style>
  <w:style w:type="paragraph" w:styleId="Heading2">
    <w:name w:val="heading 2"/>
    <w:basedOn w:val="Normal"/>
    <w:next w:val="Normal"/>
    <w:link w:val="Heading2Char1"/>
    <w:uiPriority w:val="99"/>
    <w:qFormat/>
    <w:rsid w:val="00853D9C"/>
    <w:pPr>
      <w:keepNext/>
      <w:jc w:val="center"/>
      <w:outlineLvl w:val="1"/>
    </w:pPr>
    <w:rPr>
      <w:rFonts w:ascii="Times New Roman" w:hAnsi="Times New Roman" w:cs="Times New Roman"/>
      <w:b w:val="0"/>
      <w:bCs w:val="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0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1024"/>
    <w:rPr>
      <w:rFonts w:ascii="Cambria" w:hAnsi="Cambria" w:cs="Times New Roman"/>
      <w:b/>
      <w:bCs/>
      <w:i/>
      <w:iCs/>
      <w:sz w:val="28"/>
      <w:szCs w:val="28"/>
    </w:rPr>
  </w:style>
  <w:style w:type="paragraph" w:styleId="BalloonText">
    <w:name w:val="Balloon Text"/>
    <w:basedOn w:val="Normal"/>
    <w:link w:val="BalloonTextChar2"/>
    <w:uiPriority w:val="99"/>
    <w:semiHidden/>
    <w:rsid w:val="00853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024"/>
    <w:rPr>
      <w:rFonts w:cs="Arial"/>
      <w:b/>
      <w:bCs/>
      <w:sz w:val="2"/>
    </w:rPr>
  </w:style>
  <w:style w:type="character" w:customStyle="1" w:styleId="Heading1Char1">
    <w:name w:val="Heading 1 Char1"/>
    <w:basedOn w:val="DefaultParagraphFont"/>
    <w:link w:val="Heading1"/>
    <w:uiPriority w:val="99"/>
    <w:locked/>
    <w:rsid w:val="004F111F"/>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D93E31"/>
    <w:rPr>
      <w:rFonts w:ascii="Cambria" w:hAnsi="Cambria" w:cs="Cambria"/>
      <w:b/>
      <w:bCs/>
      <w:kern w:val="32"/>
      <w:sz w:val="32"/>
      <w:szCs w:val="32"/>
    </w:rPr>
  </w:style>
  <w:style w:type="character" w:customStyle="1" w:styleId="BalloonTextChar2">
    <w:name w:val="Balloon Text Char2"/>
    <w:basedOn w:val="DefaultParagraphFont"/>
    <w:link w:val="BalloonText"/>
    <w:uiPriority w:val="99"/>
    <w:semiHidden/>
    <w:locked/>
    <w:rsid w:val="004F111F"/>
    <w:rPr>
      <w:rFonts w:cs="Times New Roman"/>
      <w:b/>
      <w:bCs/>
      <w:sz w:val="2"/>
      <w:szCs w:val="2"/>
    </w:rPr>
  </w:style>
  <w:style w:type="character" w:customStyle="1" w:styleId="BalloonTextChar1">
    <w:name w:val="Balloon Text Char1"/>
    <w:basedOn w:val="DefaultParagraphFont"/>
    <w:link w:val="BalloonText"/>
    <w:uiPriority w:val="99"/>
    <w:semiHidden/>
    <w:locked/>
    <w:rsid w:val="00AF7932"/>
    <w:rPr>
      <w:rFonts w:cs="Arial"/>
      <w:b/>
      <w:bCs/>
      <w:sz w:val="2"/>
    </w:rPr>
  </w:style>
  <w:style w:type="character" w:styleId="CommentReference">
    <w:name w:val="annotation reference"/>
    <w:basedOn w:val="DefaultParagraphFont"/>
    <w:uiPriority w:val="99"/>
    <w:semiHidden/>
    <w:rsid w:val="00853D9C"/>
    <w:rPr>
      <w:rFonts w:cs="Times New Roman"/>
      <w:sz w:val="16"/>
      <w:szCs w:val="16"/>
    </w:rPr>
  </w:style>
  <w:style w:type="paragraph" w:styleId="CommentText">
    <w:name w:val="annotation text"/>
    <w:basedOn w:val="Normal"/>
    <w:link w:val="CommentTextChar1"/>
    <w:uiPriority w:val="99"/>
    <w:semiHidden/>
    <w:rsid w:val="00853D9C"/>
    <w:rPr>
      <w:sz w:val="20"/>
      <w:szCs w:val="20"/>
    </w:rPr>
  </w:style>
  <w:style w:type="character" w:customStyle="1" w:styleId="CommentTextChar">
    <w:name w:val="Comment Text Char"/>
    <w:basedOn w:val="DefaultParagraphFont"/>
    <w:link w:val="CommentText"/>
    <w:uiPriority w:val="99"/>
    <w:semiHidden/>
    <w:locked/>
    <w:rsid w:val="00A01024"/>
    <w:rPr>
      <w:rFonts w:ascii="Arial" w:hAnsi="Arial" w:cs="Arial"/>
      <w:b/>
      <w:bCs/>
      <w:sz w:val="20"/>
      <w:szCs w:val="20"/>
    </w:rPr>
  </w:style>
  <w:style w:type="character" w:customStyle="1" w:styleId="CommentTextChar1">
    <w:name w:val="Comment Text Char1"/>
    <w:basedOn w:val="DefaultParagraphFont"/>
    <w:link w:val="CommentText"/>
    <w:uiPriority w:val="99"/>
    <w:semiHidden/>
    <w:locked/>
    <w:rsid w:val="004F111F"/>
    <w:rPr>
      <w:rFonts w:ascii="Arial" w:hAnsi="Arial" w:cs="Arial"/>
      <w:b/>
      <w:bCs/>
      <w:sz w:val="20"/>
      <w:szCs w:val="20"/>
    </w:rPr>
  </w:style>
  <w:style w:type="paragraph" w:styleId="Header">
    <w:name w:val="header"/>
    <w:basedOn w:val="Normal"/>
    <w:link w:val="HeaderChar1"/>
    <w:uiPriority w:val="99"/>
    <w:rsid w:val="00853D9C"/>
    <w:pPr>
      <w:tabs>
        <w:tab w:val="center" w:pos="4320"/>
        <w:tab w:val="right" w:pos="8640"/>
      </w:tabs>
    </w:pPr>
  </w:style>
  <w:style w:type="character" w:customStyle="1" w:styleId="HeaderChar">
    <w:name w:val="Header Char"/>
    <w:basedOn w:val="DefaultParagraphFont"/>
    <w:link w:val="Header"/>
    <w:uiPriority w:val="99"/>
    <w:semiHidden/>
    <w:locked/>
    <w:rsid w:val="00A01024"/>
    <w:rPr>
      <w:rFonts w:ascii="Arial" w:hAnsi="Arial" w:cs="Arial"/>
      <w:b/>
      <w:bCs/>
      <w:sz w:val="24"/>
      <w:szCs w:val="24"/>
    </w:rPr>
  </w:style>
  <w:style w:type="character" w:customStyle="1" w:styleId="HeaderChar1">
    <w:name w:val="Header Char1"/>
    <w:basedOn w:val="DefaultParagraphFont"/>
    <w:link w:val="Header"/>
    <w:uiPriority w:val="99"/>
    <w:semiHidden/>
    <w:locked/>
    <w:rsid w:val="004F111F"/>
    <w:rPr>
      <w:rFonts w:ascii="Arial" w:hAnsi="Arial" w:cs="Arial"/>
      <w:b/>
      <w:bCs/>
      <w:sz w:val="24"/>
      <w:szCs w:val="24"/>
    </w:rPr>
  </w:style>
  <w:style w:type="paragraph" w:styleId="Footer">
    <w:name w:val="footer"/>
    <w:basedOn w:val="Normal"/>
    <w:link w:val="FooterChar1"/>
    <w:uiPriority w:val="99"/>
    <w:rsid w:val="00853D9C"/>
    <w:pPr>
      <w:tabs>
        <w:tab w:val="center" w:pos="4320"/>
        <w:tab w:val="right" w:pos="8640"/>
      </w:tabs>
    </w:pPr>
  </w:style>
  <w:style w:type="character" w:customStyle="1" w:styleId="FooterChar">
    <w:name w:val="Footer Char"/>
    <w:basedOn w:val="DefaultParagraphFont"/>
    <w:link w:val="Footer"/>
    <w:uiPriority w:val="99"/>
    <w:semiHidden/>
    <w:locked/>
    <w:rsid w:val="00A01024"/>
    <w:rPr>
      <w:rFonts w:ascii="Arial" w:hAnsi="Arial" w:cs="Arial"/>
      <w:b/>
      <w:bCs/>
      <w:sz w:val="24"/>
      <w:szCs w:val="24"/>
    </w:rPr>
  </w:style>
  <w:style w:type="character" w:customStyle="1" w:styleId="FooterChar1">
    <w:name w:val="Footer Char1"/>
    <w:basedOn w:val="DefaultParagraphFont"/>
    <w:link w:val="Footer"/>
    <w:uiPriority w:val="99"/>
    <w:semiHidden/>
    <w:locked/>
    <w:rsid w:val="004F111F"/>
    <w:rPr>
      <w:rFonts w:ascii="Arial" w:hAnsi="Arial" w:cs="Arial"/>
      <w:b/>
      <w:bCs/>
      <w:sz w:val="24"/>
      <w:szCs w:val="24"/>
    </w:rPr>
  </w:style>
  <w:style w:type="paragraph" w:styleId="FootnoteText">
    <w:name w:val="footnote text"/>
    <w:basedOn w:val="Normal"/>
    <w:link w:val="FootnoteTextChar1"/>
    <w:uiPriority w:val="99"/>
    <w:semiHidden/>
    <w:rsid w:val="00853D9C"/>
    <w:rPr>
      <w:sz w:val="20"/>
      <w:szCs w:val="20"/>
    </w:rPr>
  </w:style>
  <w:style w:type="character" w:customStyle="1" w:styleId="FootnoteTextChar">
    <w:name w:val="Footnote Text Char"/>
    <w:basedOn w:val="DefaultParagraphFont"/>
    <w:link w:val="FootnoteText"/>
    <w:uiPriority w:val="99"/>
    <w:semiHidden/>
    <w:locked/>
    <w:rsid w:val="00A01024"/>
    <w:rPr>
      <w:rFonts w:ascii="Arial" w:hAnsi="Arial" w:cs="Arial"/>
      <w:b/>
      <w:bCs/>
      <w:sz w:val="20"/>
      <w:szCs w:val="20"/>
    </w:rPr>
  </w:style>
  <w:style w:type="character" w:customStyle="1" w:styleId="FootnoteTextChar1">
    <w:name w:val="Footnote Text Char1"/>
    <w:basedOn w:val="DefaultParagraphFont"/>
    <w:link w:val="FootnoteText"/>
    <w:uiPriority w:val="99"/>
    <w:semiHidden/>
    <w:locked/>
    <w:rsid w:val="004F111F"/>
    <w:rPr>
      <w:rFonts w:ascii="Arial" w:hAnsi="Arial" w:cs="Arial"/>
      <w:b/>
      <w:bCs/>
      <w:sz w:val="20"/>
      <w:szCs w:val="20"/>
    </w:rPr>
  </w:style>
  <w:style w:type="character" w:styleId="FootnoteReference">
    <w:name w:val="footnote reference"/>
    <w:basedOn w:val="DefaultParagraphFont"/>
    <w:uiPriority w:val="99"/>
    <w:semiHidden/>
    <w:rsid w:val="00853D9C"/>
    <w:rPr>
      <w:rFonts w:cs="Times New Roman"/>
      <w:vertAlign w:val="superscript"/>
    </w:rPr>
  </w:style>
  <w:style w:type="table" w:styleId="TableGrid">
    <w:name w:val="Table Grid"/>
    <w:basedOn w:val="TableNormal"/>
    <w:uiPriority w:val="99"/>
    <w:rsid w:val="003A78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1"/>
    <w:uiPriority w:val="99"/>
    <w:semiHidden/>
    <w:rsid w:val="00853D9C"/>
  </w:style>
  <w:style w:type="character" w:customStyle="1" w:styleId="CommentSubjectChar">
    <w:name w:val="Comment Subject Char"/>
    <w:basedOn w:val="CommentTextChar1"/>
    <w:link w:val="CommentSubject"/>
    <w:uiPriority w:val="99"/>
    <w:semiHidden/>
    <w:locked/>
    <w:rsid w:val="00A01024"/>
  </w:style>
  <w:style w:type="character" w:customStyle="1" w:styleId="CommentSubjectChar1">
    <w:name w:val="Comment Subject Char1"/>
    <w:basedOn w:val="CommentTextChar1"/>
    <w:link w:val="CommentSubject"/>
    <w:uiPriority w:val="99"/>
    <w:semiHidden/>
    <w:locked/>
    <w:rsid w:val="004F111F"/>
  </w:style>
  <w:style w:type="character" w:styleId="PageNumber">
    <w:name w:val="page number"/>
    <w:basedOn w:val="DefaultParagraphFont"/>
    <w:uiPriority w:val="99"/>
    <w:rsid w:val="00853D9C"/>
    <w:rPr>
      <w:rFonts w:cs="Times New Roman"/>
    </w:rPr>
  </w:style>
  <w:style w:type="character" w:styleId="Hyperlink">
    <w:name w:val="Hyperlink"/>
    <w:basedOn w:val="DefaultParagraphFont"/>
    <w:uiPriority w:val="99"/>
    <w:rsid w:val="00853D9C"/>
    <w:rPr>
      <w:rFonts w:cs="Times New Roman"/>
      <w:color w:val="0000FF"/>
      <w:u w:val="single"/>
    </w:rPr>
  </w:style>
  <w:style w:type="paragraph" w:styleId="Title">
    <w:name w:val="Title"/>
    <w:basedOn w:val="Normal"/>
    <w:link w:val="TitleChar1"/>
    <w:uiPriority w:val="99"/>
    <w:qFormat/>
    <w:rsid w:val="00853D9C"/>
    <w:pPr>
      <w:jc w:val="center"/>
    </w:pPr>
    <w:rPr>
      <w:rFonts w:ascii="Times New Roman" w:hAnsi="Times New Roman" w:cs="Times New Roman"/>
      <w:sz w:val="32"/>
      <w:szCs w:val="32"/>
    </w:rPr>
  </w:style>
  <w:style w:type="character" w:customStyle="1" w:styleId="TitleChar">
    <w:name w:val="Title Char"/>
    <w:basedOn w:val="DefaultParagraphFont"/>
    <w:link w:val="Title"/>
    <w:uiPriority w:val="99"/>
    <w:locked/>
    <w:rsid w:val="00A01024"/>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F111F"/>
    <w:rPr>
      <w:rFonts w:ascii="Cambria" w:hAnsi="Cambria" w:cs="Cambria"/>
      <w:b/>
      <w:bCs/>
      <w:kern w:val="28"/>
      <w:sz w:val="32"/>
      <w:szCs w:val="32"/>
    </w:rPr>
  </w:style>
  <w:style w:type="character" w:styleId="FollowedHyperlink">
    <w:name w:val="FollowedHyperlink"/>
    <w:basedOn w:val="DefaultParagraphFont"/>
    <w:uiPriority w:val="99"/>
    <w:rsid w:val="00853D9C"/>
    <w:rPr>
      <w:rFonts w:cs="Times New Roman"/>
      <w:color w:val="800080"/>
      <w:u w:val="single"/>
    </w:rPr>
  </w:style>
  <w:style w:type="paragraph" w:customStyle="1" w:styleId="Disclaimer">
    <w:name w:val="Disclaimer"/>
    <w:basedOn w:val="Normal"/>
    <w:uiPriority w:val="99"/>
    <w:rsid w:val="00853D9C"/>
    <w:pPr>
      <w:spacing w:after="120" w:line="260" w:lineRule="atLeast"/>
    </w:pPr>
    <w:rPr>
      <w:rFonts w:ascii="Verdana" w:hAnsi="Verdana" w:cs="Verdana"/>
      <w:b w:val="0"/>
      <w:bCs w:val="0"/>
      <w:color w:val="333399"/>
      <w:sz w:val="18"/>
      <w:szCs w:val="18"/>
    </w:rPr>
  </w:style>
  <w:style w:type="paragraph" w:styleId="ListParagraph">
    <w:name w:val="List Paragraph"/>
    <w:basedOn w:val="Normal"/>
    <w:uiPriority w:val="99"/>
    <w:qFormat/>
    <w:rsid w:val="000D7F73"/>
    <w:pPr>
      <w:ind w:left="720"/>
    </w:pPr>
  </w:style>
  <w:style w:type="character" w:styleId="Strong">
    <w:name w:val="Strong"/>
    <w:basedOn w:val="DefaultParagraphFont"/>
    <w:uiPriority w:val="99"/>
    <w:qFormat/>
    <w:rsid w:val="000D7F73"/>
    <w:rPr>
      <w:rFonts w:cs="Times New Roman"/>
      <w:b/>
      <w:bCs/>
    </w:rPr>
  </w:style>
  <w:style w:type="paragraph" w:customStyle="1" w:styleId="Default">
    <w:name w:val="Default"/>
    <w:uiPriority w:val="99"/>
    <w:rsid w:val="0016042B"/>
    <w:pPr>
      <w:widowControl w:val="0"/>
      <w:autoSpaceDE w:val="0"/>
      <w:autoSpaceDN w:val="0"/>
      <w:adjustRightInd w:val="0"/>
    </w:pPr>
    <w:rPr>
      <w:color w:val="000000"/>
      <w:sz w:val="24"/>
      <w:szCs w:val="24"/>
    </w:rPr>
  </w:style>
  <w:style w:type="character" w:customStyle="1" w:styleId="CharChar">
    <w:name w:val="Char Char"/>
    <w:basedOn w:val="DefaultParagraphFont"/>
    <w:uiPriority w:val="99"/>
    <w:locked/>
    <w:rsid w:val="00D93E31"/>
    <w:rPr>
      <w:rFonts w:ascii="Cambria" w:hAnsi="Cambria" w:cs="Cambria"/>
      <w:b/>
      <w:bCs/>
      <w:kern w:val="28"/>
      <w:sz w:val="32"/>
      <w:szCs w:val="32"/>
    </w:rPr>
  </w:style>
  <w:style w:type="paragraph" w:styleId="PlainText">
    <w:name w:val="Plain Text"/>
    <w:basedOn w:val="Normal"/>
    <w:link w:val="PlainTextChar1"/>
    <w:uiPriority w:val="99"/>
    <w:rsid w:val="00EF5A24"/>
    <w:rPr>
      <w:rFonts w:ascii="Courier New" w:hAnsi="Courier New" w:cs="Courier New"/>
      <w:b w:val="0"/>
      <w:bCs w:val="0"/>
      <w:sz w:val="20"/>
      <w:szCs w:val="20"/>
    </w:rPr>
  </w:style>
  <w:style w:type="character" w:customStyle="1" w:styleId="PlainTextChar">
    <w:name w:val="Plain Text Char"/>
    <w:basedOn w:val="DefaultParagraphFont"/>
    <w:link w:val="PlainText"/>
    <w:uiPriority w:val="99"/>
    <w:semiHidden/>
    <w:locked/>
    <w:rsid w:val="00A01024"/>
    <w:rPr>
      <w:rFonts w:ascii="Courier New" w:hAnsi="Courier New" w:cs="Courier New"/>
      <w:b/>
      <w:bCs/>
      <w:sz w:val="20"/>
      <w:szCs w:val="20"/>
    </w:rPr>
  </w:style>
  <w:style w:type="character" w:customStyle="1" w:styleId="PlainTextChar1">
    <w:name w:val="Plain Text Char1"/>
    <w:basedOn w:val="DefaultParagraphFont"/>
    <w:link w:val="PlainText"/>
    <w:uiPriority w:val="99"/>
    <w:semiHidden/>
    <w:locked/>
    <w:rsid w:val="00A55AD0"/>
    <w:rPr>
      <w:rFonts w:ascii="Courier New" w:hAnsi="Courier New" w:cs="Courier New"/>
      <w:b/>
      <w:bCs/>
      <w:sz w:val="20"/>
      <w:szCs w:val="20"/>
    </w:rPr>
  </w:style>
  <w:style w:type="paragraph" w:styleId="NormalWeb">
    <w:name w:val="Normal (Web)"/>
    <w:basedOn w:val="Normal"/>
    <w:uiPriority w:val="99"/>
    <w:rsid w:val="00330B66"/>
    <w:pPr>
      <w:spacing w:before="100" w:beforeAutospacing="1" w:after="100" w:afterAutospacing="1"/>
    </w:pPr>
    <w:rPr>
      <w:rFonts w:ascii="Times New Roman" w:hAnsi="Times New Roman" w:cs="Times New Roman"/>
      <w:b w:val="0"/>
      <w:bCs w:val="0"/>
    </w:rPr>
  </w:style>
  <w:style w:type="character" w:customStyle="1" w:styleId="glossary2">
    <w:name w:val="glossary2"/>
    <w:basedOn w:val="DefaultParagraphFont"/>
    <w:uiPriority w:val="99"/>
    <w:rsid w:val="00E576BF"/>
    <w:rPr>
      <w:rFonts w:cs="Times New Roman"/>
      <w:b/>
      <w:bCs/>
      <w:color w:val="006633"/>
    </w:rPr>
  </w:style>
  <w:style w:type="character" w:customStyle="1" w:styleId="boldtext1">
    <w:name w:val="boldtext1"/>
    <w:basedOn w:val="DefaultParagraphFont"/>
    <w:uiPriority w:val="99"/>
    <w:rsid w:val="00E576BF"/>
    <w:rPr>
      <w:rFonts w:ascii="Arial" w:hAnsi="Arial" w:cs="Arial"/>
      <w:b/>
      <w:bCs/>
      <w:color w:val="666666"/>
      <w:sz w:val="24"/>
      <w:szCs w:val="24"/>
      <w:u w:val="none"/>
      <w:effect w:val="none"/>
    </w:rPr>
  </w:style>
  <w:style w:type="character" w:customStyle="1" w:styleId="greytext1">
    <w:name w:val="greytext1"/>
    <w:basedOn w:val="DefaultParagraphFont"/>
    <w:uiPriority w:val="99"/>
    <w:rsid w:val="00E576BF"/>
    <w:rPr>
      <w:rFonts w:ascii="Arial" w:hAnsi="Arial" w:cs="Arial"/>
      <w:color w:val="666666"/>
      <w:sz w:val="22"/>
      <w:szCs w:val="22"/>
      <w:u w:val="none"/>
      <w:effect w:val="none"/>
    </w:rPr>
  </w:style>
  <w:style w:type="character" w:styleId="Emphasis">
    <w:name w:val="Emphasis"/>
    <w:basedOn w:val="DefaultParagraphFont"/>
    <w:uiPriority w:val="99"/>
    <w:qFormat/>
    <w:locked/>
    <w:rsid w:val="00884716"/>
    <w:rPr>
      <w:rFonts w:cs="Times New Roman"/>
      <w:i/>
      <w:iCs/>
    </w:rPr>
  </w:style>
</w:styles>
</file>

<file path=word/webSettings.xml><?xml version="1.0" encoding="utf-8"?>
<w:webSettings xmlns:r="http://schemas.openxmlformats.org/officeDocument/2006/relationships" xmlns:w="http://schemas.openxmlformats.org/wordprocessingml/2006/main">
  <w:divs>
    <w:div w:id="332881615">
      <w:marLeft w:val="0"/>
      <w:marRight w:val="0"/>
      <w:marTop w:val="0"/>
      <w:marBottom w:val="0"/>
      <w:divBdr>
        <w:top w:val="none" w:sz="0" w:space="0" w:color="auto"/>
        <w:left w:val="none" w:sz="0" w:space="0" w:color="auto"/>
        <w:bottom w:val="none" w:sz="0" w:space="0" w:color="auto"/>
        <w:right w:val="none" w:sz="0" w:space="0" w:color="auto"/>
      </w:divBdr>
    </w:div>
    <w:div w:id="332881616">
      <w:marLeft w:val="0"/>
      <w:marRight w:val="0"/>
      <w:marTop w:val="0"/>
      <w:marBottom w:val="0"/>
      <w:divBdr>
        <w:top w:val="none" w:sz="0" w:space="0" w:color="auto"/>
        <w:left w:val="none" w:sz="0" w:space="0" w:color="auto"/>
        <w:bottom w:val="none" w:sz="0" w:space="0" w:color="auto"/>
        <w:right w:val="none" w:sz="0" w:space="0" w:color="auto"/>
      </w:divBdr>
    </w:div>
    <w:div w:id="332881617">
      <w:marLeft w:val="0"/>
      <w:marRight w:val="0"/>
      <w:marTop w:val="0"/>
      <w:marBottom w:val="0"/>
      <w:divBdr>
        <w:top w:val="none" w:sz="0" w:space="0" w:color="auto"/>
        <w:left w:val="none" w:sz="0" w:space="0" w:color="auto"/>
        <w:bottom w:val="none" w:sz="0" w:space="0" w:color="auto"/>
        <w:right w:val="none" w:sz="0" w:space="0" w:color="auto"/>
      </w:divBdr>
    </w:div>
    <w:div w:id="332881618">
      <w:marLeft w:val="0"/>
      <w:marRight w:val="0"/>
      <w:marTop w:val="0"/>
      <w:marBottom w:val="0"/>
      <w:divBdr>
        <w:top w:val="none" w:sz="0" w:space="0" w:color="auto"/>
        <w:left w:val="none" w:sz="0" w:space="0" w:color="auto"/>
        <w:bottom w:val="none" w:sz="0" w:space="0" w:color="auto"/>
        <w:right w:val="none" w:sz="0" w:space="0" w:color="auto"/>
      </w:divBdr>
    </w:div>
    <w:div w:id="332881619">
      <w:marLeft w:val="0"/>
      <w:marRight w:val="0"/>
      <w:marTop w:val="0"/>
      <w:marBottom w:val="0"/>
      <w:divBdr>
        <w:top w:val="none" w:sz="0" w:space="0" w:color="auto"/>
        <w:left w:val="none" w:sz="0" w:space="0" w:color="auto"/>
        <w:bottom w:val="none" w:sz="0" w:space="0" w:color="auto"/>
        <w:right w:val="none" w:sz="0" w:space="0" w:color="auto"/>
      </w:divBdr>
    </w:div>
    <w:div w:id="332881620">
      <w:marLeft w:val="0"/>
      <w:marRight w:val="0"/>
      <w:marTop w:val="0"/>
      <w:marBottom w:val="0"/>
      <w:divBdr>
        <w:top w:val="none" w:sz="0" w:space="0" w:color="auto"/>
        <w:left w:val="none" w:sz="0" w:space="0" w:color="auto"/>
        <w:bottom w:val="none" w:sz="0" w:space="0" w:color="auto"/>
        <w:right w:val="none" w:sz="0" w:space="0" w:color="auto"/>
      </w:divBdr>
    </w:div>
    <w:div w:id="332881621">
      <w:marLeft w:val="0"/>
      <w:marRight w:val="0"/>
      <w:marTop w:val="0"/>
      <w:marBottom w:val="0"/>
      <w:divBdr>
        <w:top w:val="none" w:sz="0" w:space="0" w:color="auto"/>
        <w:left w:val="none" w:sz="0" w:space="0" w:color="auto"/>
        <w:bottom w:val="none" w:sz="0" w:space="0" w:color="auto"/>
        <w:right w:val="none" w:sz="0" w:space="0" w:color="auto"/>
      </w:divBdr>
    </w:div>
    <w:div w:id="332881622">
      <w:marLeft w:val="0"/>
      <w:marRight w:val="0"/>
      <w:marTop w:val="0"/>
      <w:marBottom w:val="0"/>
      <w:divBdr>
        <w:top w:val="none" w:sz="0" w:space="0" w:color="auto"/>
        <w:left w:val="none" w:sz="0" w:space="0" w:color="auto"/>
        <w:bottom w:val="none" w:sz="0" w:space="0" w:color="auto"/>
        <w:right w:val="none" w:sz="0" w:space="0" w:color="auto"/>
      </w:divBdr>
    </w:div>
    <w:div w:id="332881623">
      <w:marLeft w:val="0"/>
      <w:marRight w:val="0"/>
      <w:marTop w:val="0"/>
      <w:marBottom w:val="0"/>
      <w:divBdr>
        <w:top w:val="none" w:sz="0" w:space="0" w:color="auto"/>
        <w:left w:val="none" w:sz="0" w:space="0" w:color="auto"/>
        <w:bottom w:val="none" w:sz="0" w:space="0" w:color="auto"/>
        <w:right w:val="none" w:sz="0" w:space="0" w:color="auto"/>
      </w:divBdr>
    </w:div>
    <w:div w:id="332881624">
      <w:marLeft w:val="0"/>
      <w:marRight w:val="0"/>
      <w:marTop w:val="0"/>
      <w:marBottom w:val="0"/>
      <w:divBdr>
        <w:top w:val="none" w:sz="0" w:space="0" w:color="auto"/>
        <w:left w:val="none" w:sz="0" w:space="0" w:color="auto"/>
        <w:bottom w:val="none" w:sz="0" w:space="0" w:color="auto"/>
        <w:right w:val="none" w:sz="0" w:space="0" w:color="auto"/>
      </w:divBdr>
    </w:div>
    <w:div w:id="332881625">
      <w:marLeft w:val="0"/>
      <w:marRight w:val="0"/>
      <w:marTop w:val="0"/>
      <w:marBottom w:val="0"/>
      <w:divBdr>
        <w:top w:val="none" w:sz="0" w:space="0" w:color="auto"/>
        <w:left w:val="none" w:sz="0" w:space="0" w:color="auto"/>
        <w:bottom w:val="none" w:sz="0" w:space="0" w:color="auto"/>
        <w:right w:val="none" w:sz="0" w:space="0" w:color="auto"/>
      </w:divBdr>
    </w:div>
    <w:div w:id="332881626">
      <w:marLeft w:val="0"/>
      <w:marRight w:val="0"/>
      <w:marTop w:val="0"/>
      <w:marBottom w:val="0"/>
      <w:divBdr>
        <w:top w:val="none" w:sz="0" w:space="0" w:color="auto"/>
        <w:left w:val="none" w:sz="0" w:space="0" w:color="auto"/>
        <w:bottom w:val="none" w:sz="0" w:space="0" w:color="auto"/>
        <w:right w:val="none" w:sz="0" w:space="0" w:color="auto"/>
      </w:divBdr>
    </w:div>
    <w:div w:id="332881627">
      <w:marLeft w:val="0"/>
      <w:marRight w:val="0"/>
      <w:marTop w:val="0"/>
      <w:marBottom w:val="0"/>
      <w:divBdr>
        <w:top w:val="none" w:sz="0" w:space="0" w:color="auto"/>
        <w:left w:val="none" w:sz="0" w:space="0" w:color="auto"/>
        <w:bottom w:val="none" w:sz="0" w:space="0" w:color="auto"/>
        <w:right w:val="none" w:sz="0" w:space="0" w:color="auto"/>
      </w:divBdr>
    </w:div>
    <w:div w:id="332881628">
      <w:marLeft w:val="0"/>
      <w:marRight w:val="0"/>
      <w:marTop w:val="0"/>
      <w:marBottom w:val="0"/>
      <w:divBdr>
        <w:top w:val="none" w:sz="0" w:space="0" w:color="auto"/>
        <w:left w:val="none" w:sz="0" w:space="0" w:color="auto"/>
        <w:bottom w:val="none" w:sz="0" w:space="0" w:color="auto"/>
        <w:right w:val="none" w:sz="0" w:space="0" w:color="auto"/>
      </w:divBdr>
    </w:div>
    <w:div w:id="332881629">
      <w:marLeft w:val="0"/>
      <w:marRight w:val="0"/>
      <w:marTop w:val="0"/>
      <w:marBottom w:val="0"/>
      <w:divBdr>
        <w:top w:val="none" w:sz="0" w:space="0" w:color="auto"/>
        <w:left w:val="none" w:sz="0" w:space="0" w:color="auto"/>
        <w:bottom w:val="none" w:sz="0" w:space="0" w:color="auto"/>
        <w:right w:val="none" w:sz="0" w:space="0" w:color="auto"/>
      </w:divBdr>
    </w:div>
    <w:div w:id="332881630">
      <w:marLeft w:val="0"/>
      <w:marRight w:val="0"/>
      <w:marTop w:val="0"/>
      <w:marBottom w:val="0"/>
      <w:divBdr>
        <w:top w:val="none" w:sz="0" w:space="0" w:color="auto"/>
        <w:left w:val="none" w:sz="0" w:space="0" w:color="auto"/>
        <w:bottom w:val="none" w:sz="0" w:space="0" w:color="auto"/>
        <w:right w:val="none" w:sz="0" w:space="0" w:color="auto"/>
      </w:divBdr>
    </w:div>
    <w:div w:id="332881631">
      <w:marLeft w:val="0"/>
      <w:marRight w:val="0"/>
      <w:marTop w:val="0"/>
      <w:marBottom w:val="0"/>
      <w:divBdr>
        <w:top w:val="none" w:sz="0" w:space="0" w:color="auto"/>
        <w:left w:val="none" w:sz="0" w:space="0" w:color="auto"/>
        <w:bottom w:val="none" w:sz="0" w:space="0" w:color="auto"/>
        <w:right w:val="none" w:sz="0" w:space="0" w:color="auto"/>
      </w:divBdr>
    </w:div>
    <w:div w:id="332881633">
      <w:marLeft w:val="0"/>
      <w:marRight w:val="0"/>
      <w:marTop w:val="0"/>
      <w:marBottom w:val="0"/>
      <w:divBdr>
        <w:top w:val="none" w:sz="0" w:space="0" w:color="auto"/>
        <w:left w:val="none" w:sz="0" w:space="0" w:color="auto"/>
        <w:bottom w:val="none" w:sz="0" w:space="0" w:color="auto"/>
        <w:right w:val="none" w:sz="0" w:space="0" w:color="auto"/>
      </w:divBdr>
      <w:divsChild>
        <w:div w:id="332881634">
          <w:marLeft w:val="720"/>
          <w:marRight w:val="720"/>
          <w:marTop w:val="100"/>
          <w:marBottom w:val="100"/>
          <w:divBdr>
            <w:top w:val="none" w:sz="0" w:space="0" w:color="auto"/>
            <w:left w:val="none" w:sz="0" w:space="0" w:color="auto"/>
            <w:bottom w:val="none" w:sz="0" w:space="0" w:color="auto"/>
            <w:right w:val="none" w:sz="0" w:space="0" w:color="auto"/>
          </w:divBdr>
          <w:divsChild>
            <w:div w:id="3328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odesta@ici.or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larry@sparkinstitu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ppa.org/"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5212</Words>
  <Characters>29713</Characters>
  <Application>Microsoft Office Word</Application>
  <DocSecurity>0</DocSecurity>
  <Lines>247</Lines>
  <Paragraphs>69</Paragraphs>
  <ScaleCrop>false</ScaleCrop>
  <Company>ING</Company>
  <LinksUpToDate>false</LinksUpToDate>
  <CharactersWithSpaces>34856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Provider Acknowledgement of planwithease</dc:title>
  <dc:subject/>
  <dc:creator>LHG</dc:creator>
  <cp:keywords/>
  <dc:description/>
  <cp:lastModifiedBy> </cp:lastModifiedBy>
  <cp:revision>2</cp:revision>
  <cp:lastPrinted>2012-04-25T15:14:00Z</cp:lastPrinted>
  <dcterms:created xsi:type="dcterms:W3CDTF">2012-04-25T15:17:00Z</dcterms:created>
  <dcterms:modified xsi:type="dcterms:W3CDTF">2012-04-25T15:17:00Z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